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A741EA">
      <w:pPr>
        <w:adjustRightInd w:val="0"/>
        <w:snapToGrid w:val="0"/>
        <w:spacing w:before="120" w:after="120" w:line="360" w:lineRule="auto"/>
        <w:jc w:val="center"/>
        <w:rPr>
          <w:rFonts w:hint="default" w:ascii="仿宋" w:hAnsi="仿宋" w:eastAsia="仿宋"/>
          <w:sz w:val="44"/>
          <w:szCs w:val="44"/>
          <w:highlight w:val="none"/>
          <w:lang w:val="en-US" w:eastAsia="zh-CN"/>
        </w:rPr>
      </w:pPr>
      <w:r>
        <w:rPr>
          <w:rFonts w:hint="eastAsia" w:ascii="仿宋" w:hAnsi="仿宋" w:eastAsia="仿宋"/>
          <w:sz w:val="44"/>
          <w:szCs w:val="44"/>
          <w:highlight w:val="none"/>
          <w:lang w:val="en-US" w:eastAsia="zh-CN"/>
        </w:rPr>
        <w:t>采购文件</w:t>
      </w:r>
      <w:bookmarkStart w:id="75" w:name="_GoBack"/>
      <w:bookmarkEnd w:id="75"/>
    </w:p>
    <w:p w14:paraId="0040C226">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本公司（东莞市新东</w:t>
      </w:r>
      <w:r>
        <w:rPr>
          <w:rFonts w:hint="eastAsia" w:ascii="仿宋" w:hAnsi="仿宋" w:eastAsia="仿宋"/>
          <w:sz w:val="32"/>
          <w:szCs w:val="32"/>
          <w:highlight w:val="none"/>
        </w:rPr>
        <w:t>元</w:t>
      </w:r>
      <w:r>
        <w:rPr>
          <w:rFonts w:ascii="仿宋" w:hAnsi="仿宋" w:eastAsia="仿宋"/>
          <w:sz w:val="32"/>
          <w:szCs w:val="32"/>
          <w:highlight w:val="none"/>
        </w:rPr>
        <w:t>环保投资有限公司）</w:t>
      </w:r>
      <w:r>
        <w:rPr>
          <w:rFonts w:hint="eastAsia" w:ascii="仿宋" w:hAnsi="仿宋" w:eastAsia="仿宋"/>
          <w:sz w:val="32"/>
          <w:szCs w:val="32"/>
          <w:highlight w:val="none"/>
          <w:lang w:val="en-US" w:eastAsia="zh-CN"/>
        </w:rPr>
        <w:t>因生产运营需要，</w:t>
      </w:r>
      <w:r>
        <w:rPr>
          <w:rFonts w:hint="eastAsia" w:ascii="仿宋" w:hAnsi="仿宋" w:eastAsia="仿宋"/>
          <w:sz w:val="32"/>
          <w:szCs w:val="32"/>
          <w:highlight w:val="none"/>
        </w:rPr>
        <w:t>拟采购一批</w:t>
      </w:r>
      <w:r>
        <w:rPr>
          <w:rFonts w:hint="eastAsia" w:ascii="仿宋" w:hAnsi="仿宋" w:eastAsia="仿宋"/>
          <w:sz w:val="32"/>
          <w:szCs w:val="32"/>
          <w:highlight w:val="none"/>
          <w:lang w:val="en-US" w:eastAsia="zh-CN"/>
        </w:rPr>
        <w:t>氨水和水处理药剂</w:t>
      </w:r>
      <w:r>
        <w:rPr>
          <w:rFonts w:hint="eastAsia" w:ascii="仿宋" w:hAnsi="仿宋" w:eastAsia="仿宋"/>
          <w:sz w:val="32"/>
          <w:szCs w:val="32"/>
          <w:highlight w:val="none"/>
        </w:rPr>
        <w:t>，分别选取1家供应商作为A包氨水，B包水处理生产药剂供货商</w:t>
      </w:r>
      <w:r>
        <w:rPr>
          <w:rFonts w:hint="eastAsia" w:ascii="仿宋" w:hAnsi="仿宋" w:eastAsia="仿宋"/>
          <w:sz w:val="32"/>
          <w:szCs w:val="32"/>
          <w:highlight w:val="none"/>
          <w:lang w:eastAsia="zh-CN"/>
        </w:rPr>
        <w:t>，</w:t>
      </w:r>
      <w:r>
        <w:rPr>
          <w:rFonts w:hint="eastAsia" w:ascii="仿宋" w:hAnsi="仿宋" w:eastAsia="仿宋"/>
          <w:sz w:val="32"/>
          <w:szCs w:val="32"/>
          <w:highlight w:val="none"/>
        </w:rPr>
        <w:t>现将相关情况介绍如下：</w:t>
      </w:r>
    </w:p>
    <w:p w14:paraId="2B87B8C3">
      <w:pPr>
        <w:adjustRightInd w:val="0"/>
        <w:snapToGrid w:val="0"/>
        <w:spacing w:line="360" w:lineRule="auto"/>
        <w:ind w:firstLine="643" w:firstLineChars="200"/>
        <w:rPr>
          <w:rFonts w:ascii="仿宋" w:hAnsi="仿宋" w:eastAsia="仿宋"/>
          <w:b/>
          <w:bCs/>
          <w:sz w:val="32"/>
          <w:szCs w:val="32"/>
          <w:highlight w:val="none"/>
        </w:rPr>
      </w:pPr>
      <w:bookmarkStart w:id="0" w:name="_Toc18594_WPSOffice_Level1"/>
      <w:r>
        <w:rPr>
          <w:rFonts w:ascii="仿宋" w:hAnsi="仿宋" w:eastAsia="仿宋"/>
          <w:b/>
          <w:bCs/>
          <w:sz w:val="32"/>
          <w:szCs w:val="32"/>
          <w:highlight w:val="none"/>
        </w:rPr>
        <w:t>一、项目名称及内容</w:t>
      </w:r>
      <w:bookmarkEnd w:id="0"/>
    </w:p>
    <w:p w14:paraId="1D741EEA">
      <w:pPr>
        <w:pStyle w:val="31"/>
        <w:spacing w:line="360" w:lineRule="auto"/>
        <w:ind w:firstLine="640"/>
        <w:outlineLvl w:val="1"/>
        <w:rPr>
          <w:rFonts w:hint="default" w:eastAsia="仿宋"/>
          <w:sz w:val="32"/>
          <w:szCs w:val="32"/>
          <w:highlight w:val="none"/>
          <w:lang w:val="en-US" w:eastAsia="zh-CN"/>
        </w:rPr>
      </w:pPr>
      <w:bookmarkStart w:id="1" w:name="_Toc12547_WPSOffice_Level1"/>
      <w:r>
        <w:rPr>
          <w:rFonts w:eastAsia="仿宋"/>
          <w:sz w:val="32"/>
          <w:szCs w:val="32"/>
          <w:highlight w:val="none"/>
        </w:rPr>
        <w:t>项目名称：</w:t>
      </w:r>
      <w:r>
        <w:rPr>
          <w:rFonts w:hint="eastAsia" w:eastAsia="仿宋"/>
          <w:sz w:val="32"/>
          <w:szCs w:val="32"/>
          <w:highlight w:val="none"/>
          <w:lang w:eastAsia="zh-CN"/>
        </w:rPr>
        <w:t>东莞市海心沙资源综合利用中心环保热电厂2026年度氨水及水处理药剂采购项目</w:t>
      </w:r>
    </w:p>
    <w:p w14:paraId="39358250">
      <w:pPr>
        <w:pStyle w:val="31"/>
        <w:spacing w:line="360" w:lineRule="auto"/>
        <w:ind w:firstLine="640"/>
        <w:outlineLvl w:val="1"/>
        <w:rPr>
          <w:rFonts w:eastAsia="仿宋"/>
          <w:sz w:val="32"/>
          <w:szCs w:val="32"/>
          <w:highlight w:val="none"/>
        </w:rPr>
      </w:pPr>
      <w:r>
        <w:rPr>
          <w:rFonts w:eastAsia="仿宋"/>
          <w:sz w:val="32"/>
          <w:szCs w:val="32"/>
          <w:highlight w:val="none"/>
        </w:rPr>
        <w:t>项目内容：成交人负责提供</w:t>
      </w:r>
      <w:r>
        <w:rPr>
          <w:rFonts w:hint="eastAsia" w:eastAsia="仿宋"/>
          <w:sz w:val="32"/>
          <w:szCs w:val="32"/>
          <w:highlight w:val="none"/>
          <w:lang w:val="en-US" w:eastAsia="zh-CN"/>
        </w:rPr>
        <w:t>本项目</w:t>
      </w:r>
      <w:r>
        <w:rPr>
          <w:rFonts w:hint="eastAsia" w:eastAsia="仿宋"/>
          <w:sz w:val="32"/>
          <w:szCs w:val="32"/>
          <w:highlight w:val="none"/>
          <w:lang w:eastAsia="zh-CN"/>
        </w:rPr>
        <w:t>物资</w:t>
      </w:r>
      <w:r>
        <w:rPr>
          <w:rFonts w:eastAsia="仿宋"/>
          <w:sz w:val="32"/>
          <w:szCs w:val="32"/>
          <w:highlight w:val="none"/>
        </w:rPr>
        <w:t>采购、包装、保管、供货、运输、提供技术资料、质量保证及售后服务等内容。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1"/>
        <w:gridCol w:w="2158"/>
        <w:gridCol w:w="1027"/>
        <w:gridCol w:w="4186"/>
      </w:tblGrid>
      <w:tr w14:paraId="634A4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1151" w:type="dxa"/>
            <w:vAlign w:val="center"/>
          </w:tcPr>
          <w:p w14:paraId="79F6F935">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rPr>
              <w:t>采购包号</w:t>
            </w:r>
          </w:p>
        </w:tc>
        <w:tc>
          <w:tcPr>
            <w:tcW w:w="2158" w:type="dxa"/>
            <w:vAlign w:val="center"/>
          </w:tcPr>
          <w:p w14:paraId="7F56D46E">
            <w:pPr>
              <w:spacing w:line="240" w:lineRule="auto"/>
              <w:jc w:val="center"/>
              <w:rPr>
                <w:rFonts w:hint="eastAsia" w:ascii="宋体" w:hAnsi="宋体" w:eastAsia="宋体" w:cs="宋体"/>
                <w:b w:val="0"/>
                <w:bCs w:val="0"/>
                <w:color w:val="auto"/>
                <w:kern w:val="28"/>
                <w:szCs w:val="21"/>
                <w:highlight w:val="none"/>
              </w:rPr>
            </w:pPr>
            <w:r>
              <w:rPr>
                <w:rFonts w:hint="eastAsia" w:ascii="宋体" w:hAnsi="宋体" w:eastAsia="宋体" w:cs="宋体"/>
                <w:b w:val="0"/>
                <w:bCs w:val="0"/>
                <w:color w:val="auto"/>
                <w:kern w:val="28"/>
                <w:szCs w:val="21"/>
                <w:highlight w:val="none"/>
                <w:lang w:val="en-US" w:eastAsia="zh-CN"/>
              </w:rPr>
              <w:t>采购</w:t>
            </w:r>
            <w:r>
              <w:rPr>
                <w:rFonts w:hint="eastAsia" w:ascii="宋体" w:hAnsi="宋体" w:eastAsia="宋体" w:cs="宋体"/>
                <w:b w:val="0"/>
                <w:bCs w:val="0"/>
                <w:color w:val="auto"/>
                <w:kern w:val="28"/>
                <w:szCs w:val="21"/>
                <w:highlight w:val="none"/>
              </w:rPr>
              <w:t>内容</w:t>
            </w:r>
          </w:p>
        </w:tc>
        <w:tc>
          <w:tcPr>
            <w:tcW w:w="1027" w:type="dxa"/>
            <w:vAlign w:val="center"/>
          </w:tcPr>
          <w:p w14:paraId="5A10A74B">
            <w:pPr>
              <w:widowControl/>
              <w:spacing w:line="400" w:lineRule="exact"/>
              <w:jc w:val="center"/>
              <w:textAlignment w:val="bottom"/>
              <w:rPr>
                <w:rFonts w:hint="eastAsia" w:ascii="宋体" w:hAnsi="宋体" w:eastAsia="宋体" w:cs="宋体"/>
                <w:b w:val="0"/>
                <w:bCs w:val="0"/>
                <w:color w:val="auto"/>
                <w:kern w:val="28"/>
                <w:szCs w:val="21"/>
                <w:highlight w:val="none"/>
                <w:lang w:val="en-US" w:eastAsia="zh-CN"/>
              </w:rPr>
            </w:pPr>
            <w:r>
              <w:rPr>
                <w:rFonts w:hint="eastAsia" w:ascii="宋体" w:hAnsi="宋体" w:eastAsia="宋体" w:cs="宋体"/>
                <w:b w:val="0"/>
                <w:bCs w:val="0"/>
                <w:color w:val="auto"/>
                <w:kern w:val="28"/>
                <w:szCs w:val="21"/>
                <w:highlight w:val="none"/>
                <w:lang w:val="en-US" w:eastAsia="zh-CN"/>
              </w:rPr>
              <w:t>单位</w:t>
            </w:r>
          </w:p>
        </w:tc>
        <w:tc>
          <w:tcPr>
            <w:tcW w:w="4186" w:type="dxa"/>
            <w:vAlign w:val="center"/>
          </w:tcPr>
          <w:p w14:paraId="0B344373">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val="0"/>
                <w:bCs w:val="0"/>
                <w:color w:val="auto"/>
                <w:kern w:val="2"/>
                <w:szCs w:val="21"/>
                <w:highlight w:val="none"/>
              </w:rPr>
            </w:pPr>
            <w:r>
              <w:rPr>
                <w:rFonts w:hint="eastAsia" w:ascii="宋体" w:hAnsi="宋体" w:eastAsia="宋体" w:cs="宋体"/>
                <w:b w:val="0"/>
                <w:bCs w:val="0"/>
                <w:color w:val="auto"/>
                <w:kern w:val="2"/>
                <w:szCs w:val="21"/>
                <w:highlight w:val="none"/>
              </w:rPr>
              <w:t>单价最高限价</w:t>
            </w:r>
          </w:p>
          <w:p w14:paraId="7039B26C">
            <w:pPr>
              <w:widowControl/>
              <w:spacing w:line="400" w:lineRule="exact"/>
              <w:jc w:val="center"/>
              <w:textAlignment w:val="bottom"/>
              <w:rPr>
                <w:rFonts w:hint="eastAsia" w:ascii="宋体" w:hAnsi="宋体" w:eastAsia="宋体" w:cs="宋体"/>
                <w:b w:val="0"/>
                <w:bCs w:val="0"/>
                <w:color w:val="auto"/>
                <w:highlight w:val="none"/>
                <w:lang w:val="en-US"/>
              </w:rPr>
            </w:pPr>
            <w:r>
              <w:rPr>
                <w:rFonts w:hint="eastAsia" w:ascii="宋体" w:hAnsi="宋体" w:eastAsia="宋体" w:cs="宋体"/>
                <w:b w:val="0"/>
                <w:bCs w:val="0"/>
                <w:color w:val="auto"/>
                <w:kern w:val="2"/>
                <w:szCs w:val="21"/>
                <w:highlight w:val="none"/>
              </w:rPr>
              <w:t>（元/吨）</w:t>
            </w:r>
          </w:p>
        </w:tc>
      </w:tr>
      <w:tr w14:paraId="72965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4518AD5F">
            <w:pPr>
              <w:spacing w:line="240" w:lineRule="auto"/>
              <w:jc w:val="center"/>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A</w:t>
            </w:r>
          </w:p>
        </w:tc>
        <w:tc>
          <w:tcPr>
            <w:tcW w:w="2158" w:type="dxa"/>
            <w:vAlign w:val="center"/>
          </w:tcPr>
          <w:p w14:paraId="6C566CF9">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氨水</w:t>
            </w:r>
          </w:p>
        </w:tc>
        <w:tc>
          <w:tcPr>
            <w:tcW w:w="1027" w:type="dxa"/>
            <w:vAlign w:val="center"/>
          </w:tcPr>
          <w:p w14:paraId="7F9583FB">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405632CE">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946</w:t>
            </w:r>
            <w:r>
              <w:rPr>
                <w:rFonts w:hint="eastAsia" w:ascii="宋体" w:hAnsi="宋体" w:eastAsia="宋体" w:cs="宋体"/>
                <w:b w:val="0"/>
                <w:bCs w:val="0"/>
                <w:color w:val="auto"/>
                <w:kern w:val="2"/>
                <w:szCs w:val="21"/>
                <w:highlight w:val="none"/>
              </w:rPr>
              <w:t>元/吨</w:t>
            </w:r>
          </w:p>
        </w:tc>
      </w:tr>
      <w:tr w14:paraId="11A08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151" w:type="dxa"/>
            <w:vAlign w:val="center"/>
          </w:tcPr>
          <w:p w14:paraId="77B21C59">
            <w:pPr>
              <w:spacing w:line="240" w:lineRule="auto"/>
              <w:jc w:val="center"/>
              <w:rPr>
                <w:rFonts w:hint="default" w:ascii="宋体" w:hAnsi="宋体" w:eastAsia="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B</w:t>
            </w:r>
          </w:p>
        </w:tc>
        <w:tc>
          <w:tcPr>
            <w:tcW w:w="2158" w:type="dxa"/>
            <w:vAlign w:val="center"/>
          </w:tcPr>
          <w:p w14:paraId="5E0FE29B">
            <w:pPr>
              <w:spacing w:line="240" w:lineRule="auto"/>
              <w:jc w:val="center"/>
              <w:rPr>
                <w:rFonts w:hint="eastAsia" w:ascii="宋体" w:hAnsi="宋体" w:eastAsia="宋体" w:cs="宋体"/>
                <w:b w:val="0"/>
                <w:bCs w:val="0"/>
                <w:color w:val="auto"/>
                <w:szCs w:val="21"/>
                <w:highlight w:val="none"/>
                <w:lang w:eastAsia="zh-CN"/>
              </w:rPr>
            </w:pPr>
            <w:r>
              <w:rPr>
                <w:rFonts w:hint="eastAsia" w:ascii="宋体" w:hAnsi="宋体" w:eastAsia="宋体" w:cs="宋体"/>
                <w:b w:val="0"/>
                <w:bCs w:val="0"/>
                <w:color w:val="auto"/>
                <w:szCs w:val="21"/>
                <w:highlight w:val="none"/>
              </w:rPr>
              <w:t>水处理生产药剂</w:t>
            </w:r>
          </w:p>
        </w:tc>
        <w:tc>
          <w:tcPr>
            <w:tcW w:w="1027" w:type="dxa"/>
            <w:vAlign w:val="center"/>
          </w:tcPr>
          <w:p w14:paraId="19D482EA">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吨</w:t>
            </w:r>
          </w:p>
        </w:tc>
        <w:tc>
          <w:tcPr>
            <w:tcW w:w="4186" w:type="dxa"/>
            <w:vAlign w:val="center"/>
          </w:tcPr>
          <w:p w14:paraId="028CA364">
            <w:pPr>
              <w:spacing w:line="400" w:lineRule="exact"/>
              <w:ind w:left="11" w:leftChars="5" w:hanging="1" w:firstLineChars="0"/>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rPr>
              <w:t>详见采购需求清单要求</w:t>
            </w:r>
          </w:p>
        </w:tc>
      </w:tr>
    </w:tbl>
    <w:p w14:paraId="4F1DB53E">
      <w:pPr>
        <w:spacing w:beforeLines="0"/>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备注：</w:t>
      </w:r>
      <w:r>
        <w:rPr>
          <w:rFonts w:hint="eastAsia" w:ascii="仿宋" w:hAnsi="仿宋" w:eastAsia="仿宋" w:cs="仿宋"/>
          <w:color w:val="auto"/>
          <w:sz w:val="32"/>
          <w:szCs w:val="32"/>
          <w:highlight w:val="none"/>
        </w:rPr>
        <w:t>本项目采用辅料单价及暂定总价报价，以暂定总价报价进行报价评审，并要求</w:t>
      </w:r>
      <w:r>
        <w:rPr>
          <w:rFonts w:hint="eastAsia" w:ascii="仿宋" w:hAnsi="仿宋" w:eastAsia="仿宋" w:cs="仿宋"/>
          <w:color w:val="auto"/>
          <w:sz w:val="32"/>
          <w:szCs w:val="32"/>
          <w:highlight w:val="none"/>
          <w:lang w:eastAsia="zh-CN"/>
        </w:rPr>
        <w:t>响应人</w:t>
      </w:r>
      <w:r>
        <w:rPr>
          <w:rFonts w:hint="eastAsia" w:ascii="仿宋" w:hAnsi="仿宋" w:eastAsia="仿宋" w:cs="仿宋"/>
          <w:color w:val="auto"/>
          <w:sz w:val="32"/>
          <w:szCs w:val="32"/>
          <w:highlight w:val="none"/>
        </w:rPr>
        <w:t>在明细报价表填报辅料单价报价，</w:t>
      </w:r>
      <w:r>
        <w:rPr>
          <w:rFonts w:hint="eastAsia" w:ascii="仿宋" w:hAnsi="仿宋" w:eastAsia="仿宋" w:cs="仿宋"/>
          <w:color w:val="auto"/>
          <w:sz w:val="32"/>
          <w:szCs w:val="32"/>
          <w:highlight w:val="none"/>
          <w:lang w:eastAsia="zh-CN"/>
        </w:rPr>
        <w:t>响应人</w:t>
      </w:r>
      <w:r>
        <w:rPr>
          <w:rFonts w:hint="eastAsia" w:ascii="仿宋" w:hAnsi="仿宋" w:eastAsia="仿宋" w:cs="仿宋"/>
          <w:color w:val="auto"/>
          <w:sz w:val="32"/>
          <w:szCs w:val="32"/>
          <w:highlight w:val="none"/>
        </w:rPr>
        <w:t>在明细报价表中填报的辅料明细报价超出采购文件的任一单价最高限价的将被视为非实质性响应而予以</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无效处理。</w:t>
      </w:r>
    </w:p>
    <w:p w14:paraId="05C4212D">
      <w:pPr>
        <w:pStyle w:val="31"/>
        <w:spacing w:line="360" w:lineRule="auto"/>
        <w:outlineLvl w:val="1"/>
        <w:rPr>
          <w:rFonts w:eastAsia="仿宋"/>
          <w:sz w:val="32"/>
          <w:szCs w:val="32"/>
          <w:highlight w:val="none"/>
        </w:rPr>
      </w:pPr>
    </w:p>
    <w:p w14:paraId="230124C9">
      <w:pPr>
        <w:spacing w:line="360" w:lineRule="auto"/>
        <w:ind w:firstLine="643" w:firstLineChars="200"/>
        <w:outlineLvl w:val="1"/>
        <w:rPr>
          <w:rFonts w:ascii="仿宋" w:hAnsi="仿宋" w:eastAsia="仿宋"/>
          <w:b/>
          <w:bCs/>
          <w:sz w:val="32"/>
          <w:szCs w:val="32"/>
          <w:highlight w:val="none"/>
        </w:rPr>
      </w:pPr>
      <w:r>
        <w:rPr>
          <w:rFonts w:ascii="仿宋" w:hAnsi="仿宋" w:eastAsia="仿宋"/>
          <w:b/>
          <w:bCs/>
          <w:sz w:val="32"/>
          <w:szCs w:val="32"/>
          <w:highlight w:val="none"/>
        </w:rPr>
        <w:t>二、项目概况</w:t>
      </w:r>
      <w:bookmarkEnd w:id="1"/>
    </w:p>
    <w:p w14:paraId="6C6556B2">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东莞市海心沙资源综合利用中心环保热电厂项目位于东莞市麻涌镇大步村海心沙岛，该项目用地面积约105亩，总投资13.75亿元，通过焚烧发电方式处理生活垃圾和一般工业垃圾，处理规模达2250吨/天，年发电量超5亿千瓦时。项目配置 3*750 吨/天炉排炉焚烧处理线和2*40兆瓦凝汽式汽轮发电机组等系统设施，采用烟气超净排放技术，实现烟气排放指标优于国家标准与欧盟标准。</w:t>
      </w:r>
    </w:p>
    <w:p w14:paraId="35963286">
      <w:pPr>
        <w:adjustRightInd w:val="0"/>
        <w:snapToGrid w:val="0"/>
        <w:spacing w:line="360" w:lineRule="auto"/>
        <w:ind w:firstLine="640" w:firstLineChars="200"/>
        <w:rPr>
          <w:rFonts w:eastAsia="仿宋"/>
          <w:sz w:val="32"/>
          <w:szCs w:val="32"/>
          <w:highlight w:val="none"/>
        </w:rPr>
      </w:pPr>
      <w:r>
        <w:rPr>
          <w:rFonts w:eastAsia="仿宋"/>
          <w:sz w:val="32"/>
          <w:szCs w:val="32"/>
          <w:highlight w:val="none"/>
        </w:rPr>
        <w:t>本项目采购信息在东莞实业投资控股集团有限公司网站发布（http://www.dgsy.com.cn/）、</w:t>
      </w:r>
      <w:bookmarkStart w:id="2" w:name="_Hlk73112413"/>
      <w:r>
        <w:rPr>
          <w:rFonts w:hint="eastAsia" w:eastAsia="仿宋"/>
          <w:sz w:val="32"/>
          <w:szCs w:val="32"/>
          <w:highlight w:val="none"/>
          <w:lang w:eastAsia="zh-CN"/>
        </w:rPr>
        <w:t>广东东实环境股份有限公司</w:t>
      </w:r>
      <w:r>
        <w:rPr>
          <w:rFonts w:eastAsia="仿宋"/>
          <w:sz w:val="32"/>
          <w:szCs w:val="32"/>
          <w:highlight w:val="none"/>
        </w:rPr>
        <w:t>网站（http://www.dshuanbao.com.cn/）发布</w:t>
      </w:r>
      <w:bookmarkEnd w:id="2"/>
      <w:r>
        <w:rPr>
          <w:rFonts w:eastAsia="仿宋"/>
          <w:sz w:val="32"/>
          <w:szCs w:val="32"/>
          <w:highlight w:val="none"/>
        </w:rPr>
        <w:t>。</w:t>
      </w:r>
    </w:p>
    <w:p w14:paraId="2CF421F6">
      <w:pPr>
        <w:spacing w:line="360" w:lineRule="auto"/>
        <w:ind w:firstLine="643" w:firstLineChars="200"/>
        <w:outlineLvl w:val="1"/>
        <w:rPr>
          <w:rFonts w:ascii="仿宋" w:hAnsi="仿宋" w:eastAsia="仿宋"/>
          <w:b/>
          <w:bCs/>
          <w:sz w:val="32"/>
          <w:szCs w:val="32"/>
          <w:highlight w:val="none"/>
        </w:rPr>
      </w:pPr>
      <w:bookmarkStart w:id="3" w:name="_Toc22880_WPSOffice_Level1"/>
      <w:r>
        <w:rPr>
          <w:rFonts w:ascii="仿宋" w:hAnsi="仿宋" w:eastAsia="仿宋"/>
          <w:b/>
          <w:bCs/>
          <w:sz w:val="32"/>
          <w:szCs w:val="32"/>
          <w:highlight w:val="none"/>
        </w:rPr>
        <w:t>三、</w:t>
      </w:r>
      <w:r>
        <w:rPr>
          <w:rFonts w:hint="eastAsia" w:ascii="仿宋" w:hAnsi="仿宋" w:eastAsia="仿宋"/>
          <w:b/>
          <w:bCs/>
          <w:sz w:val="32"/>
          <w:szCs w:val="32"/>
          <w:highlight w:val="none"/>
          <w:lang w:eastAsia="zh-CN"/>
        </w:rPr>
        <w:t>响应人</w:t>
      </w:r>
      <w:r>
        <w:rPr>
          <w:rFonts w:ascii="仿宋" w:hAnsi="仿宋" w:eastAsia="仿宋"/>
          <w:b/>
          <w:bCs/>
          <w:sz w:val="32"/>
          <w:szCs w:val="32"/>
          <w:highlight w:val="none"/>
        </w:rPr>
        <w:t>资格要求</w:t>
      </w:r>
      <w:bookmarkEnd w:id="3"/>
    </w:p>
    <w:p w14:paraId="53CCF909">
      <w:pPr>
        <w:spacing w:before="156"/>
        <w:ind w:firstLine="630" w:firstLineChars="196"/>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A包：氨水</w:t>
      </w:r>
    </w:p>
    <w:p w14:paraId="6A065D7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6950BD27">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21057404">
      <w:pPr>
        <w:ind w:firstLine="0" w:firstLineChars="0"/>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3DEA8D51">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须为所投产品生产厂家或授权经销商（提供相关证明文件复印件加盖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5CE57CFD">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①如</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为所投产品生产厂家的，须提供危险化学品安全生产许可证；许可范围均须包含本次拟投货物（提供相关证明文件复印件加盖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2CBA551B">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rPr>
        <w:t>②如</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为所投产品授权经销商的，须提供许可范围均须包含本次拟投货物的危险化学品经营许可证，授权经销类供应商还需提供所投产品的经销授权书或合同等证明文件（提供相关证明文件复印件加盖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43ACBFBC">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20</w:t>
      </w:r>
      <w:r>
        <w:rPr>
          <w:rFonts w:hint="eastAsia" w:ascii="仿宋" w:hAnsi="仿宋" w:eastAsia="仿宋" w:cs="仿宋"/>
          <w:sz w:val="32"/>
          <w:szCs w:val="32"/>
          <w:highlight w:val="none"/>
          <w:lang w:val="en-US" w:eastAsia="zh-CN"/>
        </w:rPr>
        <w:t>22</w:t>
      </w:r>
      <w:r>
        <w:rPr>
          <w:rFonts w:hint="eastAsia" w:ascii="仿宋" w:hAnsi="仿宋" w:eastAsia="仿宋" w:cs="仿宋"/>
          <w:sz w:val="32"/>
          <w:szCs w:val="32"/>
          <w:highlight w:val="none"/>
        </w:rPr>
        <w:t>年1月1日至</w:t>
      </w:r>
      <w:r>
        <w:rPr>
          <w:rFonts w:hint="eastAsia" w:ascii="仿宋" w:hAnsi="仿宋" w:eastAsia="仿宋" w:cs="仿宋"/>
          <w:sz w:val="32"/>
          <w:szCs w:val="32"/>
          <w:highlight w:val="none"/>
          <w:lang w:val="en-US" w:eastAsia="zh-CN"/>
        </w:rPr>
        <w:t>采购</w:t>
      </w:r>
      <w:r>
        <w:rPr>
          <w:rFonts w:hint="eastAsia" w:ascii="仿宋" w:hAnsi="仿宋" w:eastAsia="仿宋" w:cs="仿宋"/>
          <w:sz w:val="32"/>
          <w:szCs w:val="32"/>
          <w:highlight w:val="none"/>
        </w:rPr>
        <w:t>公告发布之日（以合同签订时间为准）至少具有氨水销售业绩合同2份，且每份不小于950吨的供货合同（需提供合同关键页及供货期限内任意一期发票）复印件加盖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公章。如</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合同关键页不能体现供货量的，则除上述材料外还需提供供货量证明（签字确认的送货单或相关验收证明材料或由买方出具的证明文件）。</w:t>
      </w:r>
    </w:p>
    <w:p w14:paraId="0CD94AC2">
      <w:pPr>
        <w:spacing w:before="156"/>
        <w:ind w:firstLine="627" w:firstLineChars="196"/>
        <w:rPr>
          <w:rFonts w:hint="eastAsia" w:ascii="仿宋" w:hAnsi="仿宋" w:eastAsia="仿宋" w:cs="仿宋"/>
          <w:sz w:val="32"/>
          <w:szCs w:val="32"/>
          <w:highlight w:val="none"/>
          <w:lang w:val="en-US"/>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具有满足本项目的运输能力（自有危险化学品运输资质或与有危险化学品运输资质的单位有稳定的合作关系，提供签订的运输合同），须具有履行合同所必需的专用运输车1辆或以上，并配备相应数量的驾驶员，提供车辆自有或租赁合同及车辆允许运营的证明材料（包括但不限于道路运输经营许可证、机动车行驶证、驾驶证等复印件加盖</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公章。）</w:t>
      </w:r>
    </w:p>
    <w:p w14:paraId="3B6B348C">
      <w:pPr>
        <w:spacing w:before="156"/>
        <w:ind w:firstLine="627" w:firstLineChars="196"/>
        <w:rPr>
          <w:rFonts w:hint="eastAsia" w:ascii="仿宋" w:hAnsi="仿宋" w:eastAsia="仿宋"/>
          <w:sz w:val="32"/>
          <w:szCs w:val="32"/>
          <w:highlight w:val="none"/>
        </w:rPr>
      </w:pPr>
      <w:r>
        <w:rPr>
          <w:rFonts w:hint="eastAsia" w:ascii="仿宋" w:hAnsi="仿宋" w:eastAsia="仿宋"/>
          <w:sz w:val="32"/>
          <w:szCs w:val="32"/>
          <w:highlight w:val="none"/>
          <w:lang w:val="en-US" w:eastAsia="zh-CN"/>
        </w:rPr>
        <w:t>6</w:t>
      </w:r>
      <w:r>
        <w:rPr>
          <w:rFonts w:hint="eastAsia" w:ascii="仿宋" w:hAnsi="仿宋" w:eastAsia="仿宋"/>
          <w:sz w:val="32"/>
          <w:szCs w:val="32"/>
          <w:highlight w:val="none"/>
        </w:rPr>
        <w:t>、</w:t>
      </w:r>
      <w:r>
        <w:rPr>
          <w:rFonts w:hint="eastAsia" w:ascii="仿宋" w:hAnsi="仿宋" w:eastAsia="仿宋" w:cs="仿宋"/>
          <w:sz w:val="32"/>
          <w:szCs w:val="32"/>
          <w:highlight w:val="none"/>
        </w:rPr>
        <w:t>未被列入东实环境及下属企业相关领域黑名单</w:t>
      </w:r>
      <w:r>
        <w:rPr>
          <w:rFonts w:hint="eastAsia" w:ascii="仿宋" w:hAnsi="仿宋" w:eastAsia="仿宋"/>
          <w:sz w:val="32"/>
          <w:szCs w:val="32"/>
          <w:highlight w:val="none"/>
        </w:rPr>
        <w:t>。</w:t>
      </w:r>
    </w:p>
    <w:p w14:paraId="2DF036CC">
      <w:pPr>
        <w:spacing w:before="156"/>
        <w:ind w:firstLine="630" w:firstLineChars="196"/>
        <w:rPr>
          <w:rFonts w:hint="eastAsia" w:ascii="仿宋" w:hAnsi="仿宋" w:eastAsia="仿宋" w:cs="仿宋"/>
          <w:b/>
          <w:bCs/>
          <w:sz w:val="32"/>
          <w:szCs w:val="32"/>
          <w:highlight w:val="none"/>
        </w:rPr>
      </w:pPr>
      <w:r>
        <w:rPr>
          <w:rFonts w:hint="eastAsia" w:ascii="仿宋" w:hAnsi="仿宋" w:eastAsia="仿宋" w:cs="仿宋"/>
          <w:b/>
          <w:bCs/>
          <w:sz w:val="32"/>
          <w:szCs w:val="32"/>
          <w:highlight w:val="none"/>
          <w:lang w:val="en-US" w:eastAsia="zh-CN"/>
        </w:rPr>
        <w:t>B</w:t>
      </w:r>
      <w:r>
        <w:rPr>
          <w:rFonts w:hint="eastAsia" w:ascii="仿宋" w:hAnsi="仿宋" w:eastAsia="仿宋" w:cs="仿宋"/>
          <w:b/>
          <w:bCs/>
          <w:sz w:val="32"/>
          <w:szCs w:val="32"/>
          <w:highlight w:val="none"/>
        </w:rPr>
        <w:t>包：水处理生产药剂</w:t>
      </w:r>
    </w:p>
    <w:p w14:paraId="642A5397">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1、</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须为在中华人民共和国境内登记注册的具有独立承担民事责任能力的法人或其他组织【提供《营业执照》复印件（加盖公章）或《事业单位法人证书》复印件（加盖公章）或其他主体证书复印件（加盖公章）】。</w:t>
      </w:r>
    </w:p>
    <w:p w14:paraId="5302F69C">
      <w:pPr>
        <w:spacing w:before="156"/>
        <w:ind w:firstLine="627" w:firstLineChars="196"/>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2、响应人须提供报价截止日前6个月内任意1个月依法缴纳税收及无欠税的证明材料。如依法免税的，须提供相</w:t>
      </w:r>
    </w:p>
    <w:p w14:paraId="5CADE20F">
      <w:pPr>
        <w:ind w:firstLine="0" w:firstLineChars="0"/>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应证明材料。</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证明材料须加盖公章</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p>
    <w:p w14:paraId="7572835F">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3</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须为所投产品生产厂家或授权经销商（膜阻垢剂、膜杀菌剂</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须取得进口品牌的经销商授权书）。</w:t>
      </w:r>
    </w:p>
    <w:p w14:paraId="48BB3612">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须提供进口品牌膜阻垢剂、膜杀菌剂厂家的膜兼容性的认证证书。</w:t>
      </w:r>
    </w:p>
    <w:p w14:paraId="73922651">
      <w:pPr>
        <w:spacing w:before="156"/>
        <w:ind w:firstLine="627" w:firstLineChars="196"/>
        <w:rPr>
          <w:rFonts w:hint="eastAsia" w:ascii="仿宋" w:hAnsi="仿宋" w:eastAsia="仿宋" w:cs="仿宋"/>
          <w:sz w:val="32"/>
          <w:szCs w:val="32"/>
          <w:highlight w:val="none"/>
        </w:rPr>
      </w:pPr>
      <w:r>
        <w:rPr>
          <w:rFonts w:hint="eastAsia" w:ascii="仿宋" w:hAnsi="仿宋" w:eastAsia="仿宋" w:cs="仿宋"/>
          <w:sz w:val="32"/>
          <w:szCs w:val="32"/>
          <w:highlight w:val="none"/>
          <w:lang w:val="en-US" w:eastAsia="zh-CN"/>
        </w:rPr>
        <w:t>5</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响应人</w:t>
      </w:r>
      <w:r>
        <w:rPr>
          <w:rFonts w:hint="eastAsia" w:ascii="仿宋" w:hAnsi="仿宋" w:eastAsia="仿宋" w:cs="仿宋"/>
          <w:sz w:val="32"/>
          <w:szCs w:val="32"/>
          <w:highlight w:val="none"/>
        </w:rPr>
        <w:t>或所投产品生产厂家202</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年1月1日至采购公告发布之日至少2个或以上垃圾焚烧发电厂水处理生产药剂项目业绩合同，合同中需要包括药剂清单中5种或以上（每个业绩可以多份不同药剂合同叠加组成）的药剂（需提供合同关键页、供货期限内任意一期发票复印件加盖公章）；</w:t>
      </w:r>
    </w:p>
    <w:p w14:paraId="1203CEC9">
      <w:pPr>
        <w:spacing w:before="156"/>
        <w:ind w:firstLine="627" w:firstLineChars="196"/>
        <w:rPr>
          <w:highlight w:val="none"/>
        </w:rPr>
      </w:pPr>
      <w:r>
        <w:rPr>
          <w:rFonts w:hint="eastAsia" w:ascii="仿宋" w:hAnsi="仿宋" w:eastAsia="仿宋" w:cs="仿宋"/>
          <w:sz w:val="32"/>
          <w:szCs w:val="32"/>
          <w:highlight w:val="none"/>
          <w:lang w:val="en-US" w:eastAsia="zh-CN"/>
        </w:rPr>
        <w:t>6</w:t>
      </w:r>
      <w:r>
        <w:rPr>
          <w:rFonts w:hint="eastAsia" w:ascii="仿宋" w:hAnsi="仿宋" w:eastAsia="仿宋" w:cs="仿宋"/>
          <w:sz w:val="32"/>
          <w:szCs w:val="32"/>
          <w:highlight w:val="none"/>
        </w:rPr>
        <w:t>、未被列入东实环境及下属企业相关领域黑名单。</w:t>
      </w:r>
    </w:p>
    <w:p w14:paraId="596368E1">
      <w:pPr>
        <w:spacing w:line="360" w:lineRule="auto"/>
        <w:ind w:firstLine="643" w:firstLineChars="200"/>
        <w:outlineLvl w:val="1"/>
        <w:rPr>
          <w:rFonts w:ascii="仿宋" w:hAnsi="仿宋" w:eastAsia="仿宋"/>
          <w:b/>
          <w:bCs/>
          <w:sz w:val="32"/>
          <w:szCs w:val="32"/>
          <w:highlight w:val="none"/>
        </w:rPr>
      </w:pPr>
      <w:bookmarkStart w:id="4" w:name="_Toc28023_WPSOffice_Level1"/>
      <w:r>
        <w:rPr>
          <w:rFonts w:hint="eastAsia" w:ascii="仿宋" w:hAnsi="仿宋" w:eastAsia="仿宋"/>
          <w:b/>
          <w:bCs/>
          <w:sz w:val="32"/>
          <w:szCs w:val="32"/>
          <w:highlight w:val="none"/>
        </w:rPr>
        <w:t>四、采购内容及要求</w:t>
      </w:r>
      <w:bookmarkEnd w:id="4"/>
    </w:p>
    <w:p w14:paraId="3D21DEE2">
      <w:pPr>
        <w:spacing w:line="360" w:lineRule="auto"/>
        <w:ind w:firstLine="643" w:firstLineChars="200"/>
        <w:outlineLvl w:val="1"/>
        <w:rPr>
          <w:rFonts w:hint="default" w:ascii="仿宋" w:hAnsi="仿宋" w:eastAsia="仿宋"/>
          <w:color w:val="000000" w:themeColor="text1"/>
          <w:sz w:val="32"/>
          <w:szCs w:val="32"/>
          <w:highlight w:val="none"/>
          <w:lang w:val="en-US" w:eastAsia="zh-CN"/>
          <w14:textFill>
            <w14:solidFill>
              <w14:schemeClr w14:val="tx1"/>
            </w14:solidFill>
          </w14:textFill>
        </w:rPr>
      </w:pPr>
      <w:bookmarkStart w:id="5" w:name="_Toc18594_WPSOffice_Level2"/>
      <w:r>
        <w:rPr>
          <w:rFonts w:hint="eastAsia" w:ascii="仿宋" w:hAnsi="仿宋" w:eastAsia="仿宋"/>
          <w:b/>
          <w:bCs/>
          <w:sz w:val="32"/>
          <w:szCs w:val="32"/>
          <w:highlight w:val="none"/>
        </w:rPr>
        <w:t>（一）采购清单</w:t>
      </w:r>
      <w:bookmarkEnd w:id="5"/>
      <w:r>
        <w:rPr>
          <w:rFonts w:hint="eastAsia" w:ascii="仿宋" w:hAnsi="仿宋" w:eastAsia="仿宋"/>
          <w:b/>
          <w:bCs/>
          <w:sz w:val="32"/>
          <w:szCs w:val="32"/>
          <w:highlight w:val="none"/>
        </w:rPr>
        <w:t>及</w:t>
      </w:r>
      <w:r>
        <w:rPr>
          <w:rFonts w:hint="eastAsia" w:ascii="仿宋" w:hAnsi="仿宋" w:eastAsia="仿宋"/>
          <w:b/>
          <w:bCs/>
          <w:sz w:val="32"/>
          <w:szCs w:val="32"/>
          <w:highlight w:val="none"/>
          <w:lang w:val="en-US" w:eastAsia="zh-CN"/>
        </w:rPr>
        <w:t>技术</w:t>
      </w:r>
      <w:r>
        <w:rPr>
          <w:rFonts w:hint="eastAsia" w:ascii="仿宋" w:hAnsi="仿宋" w:eastAsia="仿宋"/>
          <w:b/>
          <w:bCs/>
          <w:sz w:val="32"/>
          <w:szCs w:val="32"/>
          <w:highlight w:val="none"/>
        </w:rPr>
        <w:t>要求详见附件八《</w:t>
      </w:r>
      <w:r>
        <w:rPr>
          <w:rFonts w:hint="eastAsia" w:ascii="仿宋" w:hAnsi="仿宋" w:eastAsia="仿宋" w:cs="仿宋"/>
          <w:b/>
          <w:bCs/>
          <w:sz w:val="32"/>
          <w:szCs w:val="32"/>
          <w:highlight w:val="none"/>
          <w:lang w:eastAsia="zh-CN"/>
        </w:rPr>
        <w:t>东莞市海心沙资源综合利用中心环保热电厂2026年度氨水及水处理药剂采购项目</w:t>
      </w:r>
      <w:r>
        <w:rPr>
          <w:rFonts w:hint="eastAsia" w:ascii="仿宋" w:hAnsi="仿宋" w:eastAsia="仿宋" w:cs="仿宋"/>
          <w:b/>
          <w:bCs/>
          <w:sz w:val="32"/>
          <w:szCs w:val="32"/>
          <w:highlight w:val="none"/>
          <w:lang w:val="en-US" w:eastAsia="zh-CN"/>
        </w:rPr>
        <w:t>需求书</w:t>
      </w:r>
      <w:r>
        <w:rPr>
          <w:rFonts w:hint="eastAsia" w:ascii="仿宋" w:hAnsi="仿宋" w:eastAsia="仿宋"/>
          <w:b/>
          <w:bCs/>
          <w:color w:val="000000" w:themeColor="text1"/>
          <w:sz w:val="32"/>
          <w:szCs w:val="32"/>
          <w:highlight w:val="none"/>
          <w14:textFill>
            <w14:solidFill>
              <w14:schemeClr w14:val="tx1"/>
            </w14:solidFill>
          </w14:textFill>
        </w:rPr>
        <w:t>》。</w:t>
      </w:r>
      <w:r>
        <w:rPr>
          <w:rFonts w:hint="eastAsia" w:ascii="仿宋" w:hAnsi="仿宋" w:eastAsia="仿宋"/>
          <w:b/>
          <w:bCs/>
          <w:color w:val="000000" w:themeColor="text1"/>
          <w:sz w:val="32"/>
          <w:szCs w:val="32"/>
          <w14:textFill>
            <w14:solidFill>
              <w14:schemeClr w14:val="tx1"/>
            </w14:solidFill>
          </w14:textFill>
        </w:rPr>
        <w:t>本项目含</w:t>
      </w: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14:textFill>
            <w14:solidFill>
              <w14:schemeClr w14:val="tx1"/>
            </w14:solidFill>
          </w14:textFill>
        </w:rPr>
        <w:t>个子包，分别为：A包</w:t>
      </w:r>
      <w:r>
        <w:rPr>
          <w:rFonts w:hint="eastAsia" w:ascii="仿宋" w:hAnsi="仿宋" w:eastAsia="仿宋"/>
          <w:b/>
          <w:bCs/>
          <w:color w:val="000000" w:themeColor="text1"/>
          <w:sz w:val="32"/>
          <w:szCs w:val="32"/>
          <w:lang w:eastAsia="zh-CN"/>
          <w14:textFill>
            <w14:solidFill>
              <w14:schemeClr w14:val="tx1"/>
            </w14:solidFill>
          </w14:textFill>
        </w:rPr>
        <w:t>：</w:t>
      </w:r>
      <w:r>
        <w:rPr>
          <w:rFonts w:hint="eastAsia" w:ascii="仿宋" w:hAnsi="仿宋" w:eastAsia="仿宋"/>
          <w:b/>
          <w:bCs/>
          <w:color w:val="000000" w:themeColor="text1"/>
          <w:sz w:val="32"/>
          <w:szCs w:val="32"/>
          <w:lang w:val="en-US" w:eastAsia="zh-CN"/>
          <w14:textFill>
            <w14:solidFill>
              <w14:schemeClr w14:val="tx1"/>
            </w14:solidFill>
          </w14:textFill>
        </w:rPr>
        <w:t>氨水</w:t>
      </w:r>
      <w:r>
        <w:rPr>
          <w:rFonts w:hint="eastAsia" w:ascii="仿宋" w:hAnsi="仿宋" w:eastAsia="仿宋"/>
          <w:b/>
          <w:bCs/>
          <w:color w:val="000000" w:themeColor="text1"/>
          <w:sz w:val="32"/>
          <w:szCs w:val="32"/>
          <w14:textFill>
            <w14:solidFill>
              <w14:schemeClr w14:val="tx1"/>
            </w14:solidFill>
          </w14:textFill>
        </w:rPr>
        <w:t>；B包</w:t>
      </w:r>
      <w:r>
        <w:rPr>
          <w:rFonts w:hint="eastAsia" w:ascii="仿宋" w:hAnsi="仿宋" w:eastAsia="仿宋"/>
          <w:b/>
          <w:bCs/>
          <w:color w:val="000000" w:themeColor="text1"/>
          <w:sz w:val="32"/>
          <w:szCs w:val="32"/>
          <w:lang w:val="en-US" w:eastAsia="zh-CN"/>
          <w14:textFill>
            <w14:solidFill>
              <w14:schemeClr w14:val="tx1"/>
            </w14:solidFill>
          </w14:textFill>
        </w:rPr>
        <w:t>水处理药剂</w:t>
      </w:r>
      <w:r>
        <w:rPr>
          <w:rFonts w:hint="eastAsia" w:ascii="仿宋" w:hAnsi="仿宋" w:eastAsia="仿宋"/>
          <w:b/>
          <w:bCs/>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响应人</w:t>
      </w:r>
      <w:r>
        <w:rPr>
          <w:rFonts w:hint="eastAsia" w:ascii="仿宋" w:hAnsi="仿宋" w:eastAsia="仿宋"/>
          <w:b/>
          <w:bCs/>
          <w:color w:val="000000" w:themeColor="text1"/>
          <w:sz w:val="32"/>
          <w:szCs w:val="32"/>
          <w14:textFill>
            <w14:solidFill>
              <w14:schemeClr w14:val="tx1"/>
            </w14:solidFill>
          </w14:textFill>
        </w:rPr>
        <w:t>可选择单独参与其中一个包或同时参与</w:t>
      </w:r>
      <w:r>
        <w:rPr>
          <w:rFonts w:hint="eastAsia" w:ascii="仿宋" w:hAnsi="仿宋" w:eastAsia="仿宋"/>
          <w:b/>
          <w:bCs/>
          <w:color w:val="000000" w:themeColor="text1"/>
          <w:sz w:val="32"/>
          <w:szCs w:val="32"/>
          <w:lang w:val="en-US" w:eastAsia="zh-CN"/>
          <w14:textFill>
            <w14:solidFill>
              <w14:schemeClr w14:val="tx1"/>
            </w14:solidFill>
          </w14:textFill>
        </w:rPr>
        <w:t>2</w:t>
      </w:r>
      <w:r>
        <w:rPr>
          <w:rFonts w:hint="eastAsia" w:ascii="仿宋" w:hAnsi="仿宋" w:eastAsia="仿宋"/>
          <w:b/>
          <w:bCs/>
          <w:color w:val="000000" w:themeColor="text1"/>
          <w:sz w:val="32"/>
          <w:szCs w:val="32"/>
          <w14:textFill>
            <w14:solidFill>
              <w14:schemeClr w14:val="tx1"/>
            </w14:solidFill>
          </w14:textFill>
        </w:rPr>
        <w:t>个包报价。每个包的</w:t>
      </w:r>
      <w:r>
        <w:rPr>
          <w:rFonts w:hint="eastAsia" w:ascii="仿宋" w:hAnsi="仿宋" w:eastAsia="仿宋"/>
          <w:b/>
          <w:bCs/>
          <w:color w:val="000000" w:themeColor="text1"/>
          <w:sz w:val="32"/>
          <w:szCs w:val="32"/>
          <w:lang w:eastAsia="zh-CN"/>
          <w14:textFill>
            <w14:solidFill>
              <w14:schemeClr w14:val="tx1"/>
            </w14:solidFill>
          </w14:textFill>
        </w:rPr>
        <w:t>响应文件</w:t>
      </w:r>
      <w:r>
        <w:rPr>
          <w:rFonts w:hint="eastAsia" w:ascii="仿宋" w:hAnsi="仿宋" w:eastAsia="仿宋"/>
          <w:b/>
          <w:bCs/>
          <w:color w:val="000000" w:themeColor="text1"/>
          <w:sz w:val="32"/>
          <w:szCs w:val="32"/>
          <w14:textFill>
            <w14:solidFill>
              <w14:schemeClr w14:val="tx1"/>
            </w14:solidFill>
          </w14:textFill>
        </w:rPr>
        <w:t>必须按</w:t>
      </w:r>
      <w:r>
        <w:rPr>
          <w:rFonts w:hint="eastAsia" w:ascii="仿宋" w:hAnsi="仿宋" w:eastAsia="仿宋"/>
          <w:b/>
          <w:bCs/>
          <w:color w:val="000000" w:themeColor="text1"/>
          <w:sz w:val="32"/>
          <w:szCs w:val="32"/>
          <w:lang w:val="en-US" w:eastAsia="zh-CN"/>
          <w14:textFill>
            <w14:solidFill>
              <w14:schemeClr w14:val="tx1"/>
            </w14:solidFill>
          </w14:textFill>
        </w:rPr>
        <w:t>采购</w:t>
      </w:r>
      <w:r>
        <w:rPr>
          <w:rFonts w:hint="eastAsia" w:ascii="仿宋" w:hAnsi="仿宋" w:eastAsia="仿宋"/>
          <w:b/>
          <w:bCs/>
          <w:color w:val="000000" w:themeColor="text1"/>
          <w:sz w:val="32"/>
          <w:szCs w:val="32"/>
          <w14:textFill>
            <w14:solidFill>
              <w14:schemeClr w14:val="tx1"/>
            </w14:solidFill>
          </w14:textFill>
        </w:rPr>
        <w:t>文件第</w:t>
      </w:r>
      <w:r>
        <w:rPr>
          <w:rFonts w:hint="eastAsia" w:ascii="仿宋" w:hAnsi="仿宋" w:eastAsia="仿宋"/>
          <w:b/>
          <w:bCs/>
          <w:color w:val="000000" w:themeColor="text1"/>
          <w:sz w:val="32"/>
          <w:szCs w:val="32"/>
          <w:highlight w:val="none"/>
          <w:lang w:val="en-US" w:eastAsia="zh-CN"/>
          <w14:textFill>
            <w14:solidFill>
              <w14:schemeClr w14:val="tx1"/>
            </w14:solidFill>
          </w14:textFill>
        </w:rPr>
        <w:t>十一</w:t>
      </w:r>
      <w:r>
        <w:rPr>
          <w:rFonts w:hint="eastAsia" w:ascii="仿宋" w:hAnsi="仿宋" w:eastAsia="仿宋"/>
          <w:b/>
          <w:bCs/>
          <w:color w:val="000000" w:themeColor="text1"/>
          <w:sz w:val="32"/>
          <w:szCs w:val="32"/>
          <w:highlight w:val="none"/>
          <w14:textFill>
            <w14:solidFill>
              <w14:schemeClr w14:val="tx1"/>
            </w14:solidFill>
          </w14:textFill>
        </w:rPr>
        <w:t>条和第十</w:t>
      </w:r>
      <w:r>
        <w:rPr>
          <w:rFonts w:hint="eastAsia" w:ascii="仿宋" w:hAnsi="仿宋" w:eastAsia="仿宋"/>
          <w:b/>
          <w:bCs/>
          <w:color w:val="000000" w:themeColor="text1"/>
          <w:sz w:val="32"/>
          <w:szCs w:val="32"/>
          <w:highlight w:val="none"/>
          <w:lang w:val="en-US" w:eastAsia="zh-CN"/>
          <w14:textFill>
            <w14:solidFill>
              <w14:schemeClr w14:val="tx1"/>
            </w14:solidFill>
          </w14:textFill>
        </w:rPr>
        <w:t>二</w:t>
      </w:r>
      <w:r>
        <w:rPr>
          <w:rFonts w:hint="eastAsia" w:ascii="仿宋" w:hAnsi="仿宋" w:eastAsia="仿宋"/>
          <w:b/>
          <w:bCs/>
          <w:color w:val="000000" w:themeColor="text1"/>
          <w:sz w:val="32"/>
          <w:szCs w:val="32"/>
          <w:highlight w:val="none"/>
          <w14:textFill>
            <w14:solidFill>
              <w14:schemeClr w14:val="tx1"/>
            </w14:solidFill>
          </w14:textFill>
        </w:rPr>
        <w:t>条</w:t>
      </w:r>
      <w:r>
        <w:rPr>
          <w:rFonts w:hint="eastAsia" w:ascii="仿宋" w:hAnsi="仿宋" w:eastAsia="仿宋"/>
          <w:b/>
          <w:bCs/>
          <w:color w:val="000000" w:themeColor="text1"/>
          <w:sz w:val="32"/>
          <w:szCs w:val="32"/>
          <w14:textFill>
            <w14:solidFill>
              <w14:schemeClr w14:val="tx1"/>
            </w14:solidFill>
          </w14:textFill>
        </w:rPr>
        <w:t>要求独立编制并单独密封，在</w:t>
      </w:r>
      <w:r>
        <w:rPr>
          <w:rFonts w:hint="eastAsia" w:ascii="仿宋" w:hAnsi="仿宋" w:eastAsia="仿宋"/>
          <w:b/>
          <w:bCs/>
          <w:color w:val="000000" w:themeColor="text1"/>
          <w:sz w:val="32"/>
          <w:szCs w:val="32"/>
          <w:lang w:eastAsia="zh-CN"/>
          <w14:textFill>
            <w14:solidFill>
              <w14:schemeClr w14:val="tx1"/>
            </w14:solidFill>
          </w14:textFill>
        </w:rPr>
        <w:t>响应文件</w:t>
      </w:r>
      <w:r>
        <w:rPr>
          <w:rFonts w:hint="eastAsia" w:ascii="仿宋" w:hAnsi="仿宋" w:eastAsia="仿宋"/>
          <w:b/>
          <w:bCs/>
          <w:color w:val="000000" w:themeColor="text1"/>
          <w:sz w:val="32"/>
          <w:szCs w:val="32"/>
          <w14:textFill>
            <w14:solidFill>
              <w14:schemeClr w14:val="tx1"/>
            </w14:solidFill>
          </w14:textFill>
        </w:rPr>
        <w:t>封装袋注明项目名称及包号（例如注明：“东莞市海心沙资源综合利用中心环保热电厂2026年度氨水及水处理药剂采购项目A包”、“东莞市海心沙资源综合利用中心环保热电厂2026年度氨水及水处理药剂采购项目B包”等字样）。</w:t>
      </w:r>
    </w:p>
    <w:p w14:paraId="123E2B7C">
      <w:pPr>
        <w:spacing w:line="600" w:lineRule="exact"/>
        <w:ind w:firstLine="640" w:firstLineChars="200"/>
        <w:rPr>
          <w:rFonts w:ascii="仿宋" w:hAnsi="仿宋" w:eastAsia="仿宋"/>
          <w:sz w:val="32"/>
          <w:szCs w:val="32"/>
          <w:highlight w:val="none"/>
        </w:rPr>
      </w:pPr>
      <w:r>
        <w:rPr>
          <w:rFonts w:hint="eastAsia" w:eastAsia="仿宋_GB2312"/>
          <w:sz w:val="32"/>
          <w:szCs w:val="32"/>
          <w:highlight w:val="none"/>
          <w:lang w:eastAsia="zh-CN"/>
        </w:rPr>
        <w:t>响应人</w:t>
      </w:r>
      <w:r>
        <w:rPr>
          <w:rFonts w:hint="eastAsia" w:eastAsia="仿宋_GB2312"/>
          <w:sz w:val="32"/>
          <w:szCs w:val="32"/>
          <w:highlight w:val="none"/>
        </w:rPr>
        <w:t>应详细核对及阅读采购清单及技术要求，</w:t>
      </w:r>
      <w:r>
        <w:rPr>
          <w:rFonts w:hint="eastAsia" w:eastAsia="仿宋_GB2312"/>
          <w:sz w:val="32"/>
          <w:szCs w:val="32"/>
          <w:highlight w:val="none"/>
          <w:lang w:val="en-US" w:eastAsia="zh-CN"/>
        </w:rPr>
        <w:t>不得对清单进行部分响应，</w:t>
      </w:r>
      <w:r>
        <w:rPr>
          <w:rFonts w:hint="eastAsia" w:eastAsia="仿宋_GB2312"/>
          <w:sz w:val="32"/>
          <w:szCs w:val="32"/>
          <w:highlight w:val="none"/>
        </w:rPr>
        <w:t>如有遗漏造成报价失误由</w:t>
      </w:r>
      <w:r>
        <w:rPr>
          <w:rFonts w:hint="eastAsia" w:eastAsia="仿宋_GB2312"/>
          <w:sz w:val="32"/>
          <w:szCs w:val="32"/>
          <w:highlight w:val="none"/>
          <w:lang w:eastAsia="zh-CN"/>
        </w:rPr>
        <w:t>响应人</w:t>
      </w:r>
      <w:r>
        <w:rPr>
          <w:rFonts w:hint="eastAsia" w:ascii="仿宋" w:hAnsi="仿宋" w:eastAsia="仿宋"/>
          <w:sz w:val="32"/>
          <w:szCs w:val="32"/>
          <w:highlight w:val="none"/>
        </w:rPr>
        <w:t>自行负责。</w:t>
      </w:r>
    </w:p>
    <w:p w14:paraId="6E13FF53">
      <w:pPr>
        <w:spacing w:line="600" w:lineRule="exact"/>
        <w:ind w:firstLine="643" w:firstLineChars="200"/>
        <w:rPr>
          <w:rFonts w:eastAsia="仿宋_GB2312"/>
          <w:sz w:val="32"/>
          <w:szCs w:val="32"/>
          <w:highlight w:val="none"/>
        </w:rPr>
      </w:pPr>
      <w:bookmarkStart w:id="6" w:name="_Toc12547_WPSOffice_Level2"/>
      <w:r>
        <w:rPr>
          <w:rFonts w:hint="eastAsia" w:ascii="仿宋" w:hAnsi="仿宋" w:eastAsia="仿宋"/>
          <w:b/>
          <w:bCs/>
          <w:sz w:val="32"/>
          <w:szCs w:val="32"/>
          <w:highlight w:val="none"/>
        </w:rPr>
        <w:t>（二）</w:t>
      </w:r>
      <w:bookmarkEnd w:id="6"/>
      <w:r>
        <w:rPr>
          <w:rFonts w:hint="eastAsia" w:eastAsia="仿宋_GB2312"/>
          <w:sz w:val="32"/>
          <w:szCs w:val="32"/>
          <w:highlight w:val="none"/>
        </w:rPr>
        <w:t>所有物资必须符合采购清单内的</w:t>
      </w:r>
      <w:r>
        <w:rPr>
          <w:rFonts w:hint="default" w:eastAsia="仿宋_GB2312"/>
          <w:sz w:val="32"/>
          <w:szCs w:val="32"/>
          <w:highlight w:val="none"/>
          <w:lang w:val="en-US"/>
        </w:rPr>
        <w:t>规格型号</w:t>
      </w:r>
      <w:r>
        <w:rPr>
          <w:rFonts w:hint="eastAsia" w:eastAsia="仿宋_GB2312"/>
          <w:sz w:val="32"/>
          <w:szCs w:val="32"/>
          <w:highlight w:val="none"/>
        </w:rPr>
        <w:t>等要求；且均为合格产品，来源合法。若有品牌要求，</w:t>
      </w:r>
      <w:r>
        <w:rPr>
          <w:rFonts w:hint="eastAsia" w:eastAsia="仿宋_GB2312"/>
          <w:sz w:val="32"/>
          <w:szCs w:val="32"/>
          <w:highlight w:val="none"/>
          <w:lang w:eastAsia="zh-CN"/>
        </w:rPr>
        <w:t>响应人</w:t>
      </w:r>
      <w:r>
        <w:rPr>
          <w:rFonts w:hint="eastAsia" w:eastAsia="仿宋_GB2312"/>
          <w:sz w:val="32"/>
          <w:szCs w:val="32"/>
          <w:highlight w:val="none"/>
        </w:rPr>
        <w:t>须保证所供货物为品牌正品，</w:t>
      </w:r>
      <w:r>
        <w:rPr>
          <w:rFonts w:hint="eastAsia" w:eastAsia="仿宋_GB2312"/>
          <w:b/>
          <w:bCs/>
          <w:sz w:val="32"/>
          <w:szCs w:val="32"/>
          <w:highlight w:val="none"/>
          <w:lang w:eastAsia="zh-CN"/>
        </w:rPr>
        <w:t>响应人</w:t>
      </w:r>
      <w:r>
        <w:rPr>
          <w:rFonts w:hint="eastAsia" w:eastAsia="仿宋_GB2312"/>
          <w:b/>
          <w:bCs/>
          <w:sz w:val="32"/>
          <w:szCs w:val="32"/>
          <w:highlight w:val="none"/>
        </w:rPr>
        <w:t>供货前或供货时，采购人有权要求</w:t>
      </w:r>
      <w:r>
        <w:rPr>
          <w:rFonts w:hint="eastAsia" w:eastAsia="仿宋_GB2312"/>
          <w:b/>
          <w:bCs/>
          <w:sz w:val="32"/>
          <w:szCs w:val="32"/>
          <w:highlight w:val="none"/>
          <w:lang w:eastAsia="zh-CN"/>
        </w:rPr>
        <w:t>响应人</w:t>
      </w:r>
      <w:r>
        <w:rPr>
          <w:rFonts w:hint="eastAsia" w:eastAsia="仿宋_GB2312"/>
          <w:b/>
          <w:bCs/>
          <w:sz w:val="32"/>
          <w:szCs w:val="32"/>
          <w:highlight w:val="none"/>
        </w:rPr>
        <w:t>出具品牌授权证明材料</w:t>
      </w:r>
      <w:r>
        <w:rPr>
          <w:rFonts w:hint="eastAsia" w:eastAsia="仿宋_GB2312"/>
          <w:sz w:val="32"/>
          <w:szCs w:val="32"/>
          <w:highlight w:val="none"/>
        </w:rPr>
        <w:t>；若无具体品牌要求，在满足</w:t>
      </w:r>
      <w:r>
        <w:rPr>
          <w:rFonts w:hint="eastAsia" w:eastAsia="仿宋_GB2312"/>
          <w:sz w:val="32"/>
          <w:szCs w:val="32"/>
          <w:highlight w:val="none"/>
          <w:lang w:val="en-US" w:eastAsia="zh-CN"/>
        </w:rPr>
        <w:t>参数要求</w:t>
      </w:r>
      <w:r>
        <w:rPr>
          <w:rFonts w:hint="eastAsia" w:eastAsia="仿宋_GB2312"/>
          <w:sz w:val="32"/>
          <w:szCs w:val="32"/>
          <w:highlight w:val="none"/>
        </w:rPr>
        <w:t>的条件下，可选择国产优质品牌，符合国家或行业标准。</w:t>
      </w:r>
    </w:p>
    <w:p w14:paraId="56AC163B">
      <w:pPr>
        <w:spacing w:line="600" w:lineRule="exact"/>
        <w:ind w:firstLine="640" w:firstLineChars="200"/>
        <w:rPr>
          <w:highlight w:val="none"/>
        </w:rPr>
      </w:pPr>
      <w:r>
        <w:rPr>
          <w:rFonts w:hint="eastAsia" w:eastAsia="仿宋_GB2312"/>
          <w:sz w:val="32"/>
          <w:szCs w:val="32"/>
          <w:highlight w:val="none"/>
        </w:rPr>
        <w:t>（三）</w:t>
      </w:r>
      <w:r>
        <w:rPr>
          <w:rFonts w:hint="eastAsia" w:eastAsia="仿宋_GB2312"/>
          <w:sz w:val="32"/>
          <w:szCs w:val="32"/>
          <w:highlight w:val="none"/>
          <w:lang w:val="en-US" w:eastAsia="zh-CN"/>
        </w:rPr>
        <w:t>辅料</w:t>
      </w:r>
      <w:r>
        <w:rPr>
          <w:rFonts w:hint="eastAsia" w:eastAsia="仿宋_GB2312"/>
          <w:sz w:val="32"/>
          <w:szCs w:val="32"/>
          <w:highlight w:val="none"/>
        </w:rPr>
        <w:t>必须符合采购人附件八《东莞市海心沙资源综合利用中心环保热电厂2026年度氨水及水处理药剂采购项目</w:t>
      </w:r>
      <w:r>
        <w:rPr>
          <w:rFonts w:hint="eastAsia" w:eastAsia="仿宋_GB2312"/>
          <w:sz w:val="32"/>
          <w:szCs w:val="32"/>
          <w:highlight w:val="none"/>
          <w:lang w:val="en-US" w:eastAsia="zh-CN"/>
        </w:rPr>
        <w:t>需求书</w:t>
      </w:r>
      <w:r>
        <w:rPr>
          <w:rFonts w:hint="eastAsia" w:eastAsia="仿宋_GB2312"/>
          <w:sz w:val="32"/>
          <w:szCs w:val="32"/>
          <w:highlight w:val="none"/>
        </w:rPr>
        <w:t>》要求且符合国家相关标准。供货时</w:t>
      </w:r>
      <w:r>
        <w:rPr>
          <w:rFonts w:hint="eastAsia" w:eastAsia="仿宋_GB2312"/>
          <w:sz w:val="32"/>
          <w:szCs w:val="32"/>
          <w:highlight w:val="none"/>
          <w:lang w:eastAsia="zh-CN"/>
        </w:rPr>
        <w:t>响应人</w:t>
      </w:r>
      <w:r>
        <w:rPr>
          <w:rFonts w:hint="eastAsia" w:eastAsia="仿宋_GB2312"/>
          <w:sz w:val="32"/>
          <w:szCs w:val="32"/>
          <w:highlight w:val="none"/>
        </w:rPr>
        <w:t>有义务配合采购人进行货品真伪验证（供货时出具合格有效的出厂证明、合格证、检测证明等相关文件）。</w:t>
      </w:r>
      <w:r>
        <w:rPr>
          <w:rFonts w:hint="eastAsia" w:eastAsia="仿宋_GB2312"/>
          <w:sz w:val="32"/>
          <w:szCs w:val="32"/>
          <w:highlight w:val="none"/>
          <w:lang w:val="en-US" w:eastAsia="zh-CN"/>
        </w:rPr>
        <w:t>成交人</w:t>
      </w:r>
      <w:r>
        <w:rPr>
          <w:rFonts w:hint="eastAsia" w:ascii="Times New Roman" w:hAnsi="Times New Roman" w:eastAsia="仿宋_GB2312" w:cs="Times New Roman"/>
          <w:sz w:val="32"/>
          <w:szCs w:val="32"/>
          <w:highlight w:val="none"/>
        </w:rPr>
        <w:t>严禁提供假冒伪劣、盗版、山寨、仿冒或产权不明等不合格货物，如采购人发现货不对板的、质量与价格严重不相符的情况，将按本项目采购文件、合同等相关文件对成交人进行处罚。</w:t>
      </w:r>
    </w:p>
    <w:p w14:paraId="72AEC523">
      <w:pPr>
        <w:numPr>
          <w:ilvl w:val="255"/>
          <w:numId w:val="0"/>
        </w:numPr>
        <w:spacing w:line="360" w:lineRule="auto"/>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（八）如经采购人核实响应人所报偏离不符合采购人需求及实际运营要求的，采购人有权取消成交人中标资格。</w:t>
      </w:r>
    </w:p>
    <w:p w14:paraId="568EC407">
      <w:pPr>
        <w:ind w:firstLine="640" w:firstLineChars="200"/>
        <w:rPr>
          <w:rFonts w:hint="default" w:eastAsia="仿宋_GB2312"/>
          <w:sz w:val="32"/>
          <w:szCs w:val="32"/>
          <w:highlight w:val="none"/>
          <w:lang w:val="en-US" w:eastAsia="zh-CN"/>
        </w:rPr>
      </w:pPr>
      <w:r>
        <w:rPr>
          <w:rFonts w:hint="eastAsia" w:eastAsia="仿宋_GB2312"/>
          <w:sz w:val="32"/>
          <w:szCs w:val="32"/>
          <w:highlight w:val="none"/>
          <w:lang w:eastAsia="zh-CN"/>
        </w:rPr>
        <w:t>（</w:t>
      </w:r>
      <w:r>
        <w:rPr>
          <w:rFonts w:hint="eastAsia" w:eastAsia="仿宋_GB2312"/>
          <w:sz w:val="32"/>
          <w:szCs w:val="32"/>
          <w:highlight w:val="none"/>
          <w:lang w:val="en-US" w:eastAsia="zh-CN"/>
        </w:rPr>
        <w:t>九）</w:t>
      </w:r>
      <w:r>
        <w:rPr>
          <w:rFonts w:hint="eastAsia" w:eastAsia="仿宋_GB2312"/>
          <w:sz w:val="32"/>
          <w:szCs w:val="32"/>
          <w:highlight w:val="none"/>
        </w:rPr>
        <w:t>有其他技术疑问请咨询</w:t>
      </w:r>
      <w:r>
        <w:rPr>
          <w:rFonts w:hint="eastAsia" w:eastAsia="仿宋_GB2312"/>
          <w:sz w:val="32"/>
          <w:szCs w:val="32"/>
          <w:highlight w:val="none"/>
          <w:lang w:val="en-US" w:eastAsia="zh-CN"/>
        </w:rPr>
        <w:t>专业工程师：刘工13421901444</w:t>
      </w:r>
    </w:p>
    <w:p w14:paraId="622CAE23">
      <w:pPr>
        <w:spacing w:line="360" w:lineRule="auto"/>
        <w:ind w:firstLine="643" w:firstLineChars="200"/>
        <w:outlineLvl w:val="1"/>
        <w:rPr>
          <w:rFonts w:ascii="仿宋" w:hAnsi="仿宋" w:eastAsia="仿宋"/>
          <w:b/>
          <w:bCs/>
          <w:sz w:val="32"/>
          <w:szCs w:val="32"/>
          <w:highlight w:val="none"/>
        </w:rPr>
      </w:pPr>
      <w:bookmarkStart w:id="7" w:name="_Toc13465_WPSOffice_Level1"/>
      <w:r>
        <w:rPr>
          <w:rFonts w:hint="eastAsia" w:ascii="仿宋" w:hAnsi="仿宋" w:eastAsia="仿宋"/>
          <w:b/>
          <w:bCs/>
          <w:sz w:val="32"/>
          <w:szCs w:val="32"/>
          <w:highlight w:val="none"/>
        </w:rPr>
        <w:t>五、完成时间</w:t>
      </w:r>
      <w:bookmarkEnd w:id="7"/>
    </w:p>
    <w:p w14:paraId="132A985A">
      <w:pPr>
        <w:spacing w:line="360" w:lineRule="auto"/>
        <w:ind w:firstLine="640" w:firstLineChars="200"/>
        <w:outlineLvl w:val="1"/>
        <w:rPr>
          <w:rFonts w:hint="eastAsia" w:ascii="仿宋" w:hAnsi="仿宋" w:eastAsia="仿宋"/>
          <w:sz w:val="32"/>
          <w:szCs w:val="32"/>
          <w:highlight w:val="none"/>
        </w:rPr>
      </w:pPr>
      <w:bookmarkStart w:id="8" w:name="_Toc5169_WPSOffice_Level1"/>
      <w:r>
        <w:rPr>
          <w:rFonts w:hint="eastAsia" w:ascii="仿宋" w:hAnsi="仿宋" w:eastAsia="仿宋"/>
          <w:sz w:val="32"/>
          <w:szCs w:val="32"/>
          <w:highlight w:val="none"/>
        </w:rPr>
        <w:t>采购人根据项目需求及实际情况通知</w:t>
      </w:r>
      <w:r>
        <w:rPr>
          <w:rFonts w:hint="eastAsia" w:ascii="仿宋" w:hAnsi="仿宋" w:eastAsia="仿宋"/>
          <w:sz w:val="32"/>
          <w:szCs w:val="32"/>
          <w:highlight w:val="none"/>
          <w:lang w:eastAsia="zh-CN"/>
        </w:rPr>
        <w:t>成交人</w:t>
      </w:r>
      <w:r>
        <w:rPr>
          <w:rFonts w:hint="eastAsia" w:ascii="仿宋" w:hAnsi="仿宋" w:eastAsia="仿宋"/>
          <w:sz w:val="32"/>
          <w:szCs w:val="32"/>
          <w:highlight w:val="none"/>
        </w:rPr>
        <w:t>随时供货，每车次具体供货数量按采购人供货通知为准，</w:t>
      </w:r>
      <w:r>
        <w:rPr>
          <w:rFonts w:hint="eastAsia" w:ascii="仿宋" w:hAnsi="仿宋" w:eastAsia="仿宋"/>
          <w:sz w:val="32"/>
          <w:szCs w:val="32"/>
          <w:highlight w:val="none"/>
          <w:lang w:val="en-US" w:eastAsia="zh-CN"/>
        </w:rPr>
        <w:t>成交</w:t>
      </w:r>
      <w:r>
        <w:rPr>
          <w:rFonts w:hint="eastAsia" w:ascii="仿宋" w:hAnsi="仿宋" w:eastAsia="仿宋"/>
          <w:sz w:val="32"/>
          <w:szCs w:val="32"/>
          <w:highlight w:val="none"/>
        </w:rPr>
        <w:t>人在收到采购人通知（以订单形式、短信形式、微信、电子邮件形式均可）送货后2日内交货到厂。</w:t>
      </w:r>
    </w:p>
    <w:p w14:paraId="13FD0BF8">
      <w:pPr>
        <w:spacing w:line="360" w:lineRule="auto"/>
        <w:ind w:firstLine="643" w:firstLineChars="200"/>
        <w:outlineLvl w:val="1"/>
        <w:rPr>
          <w:rFonts w:ascii="仿宋" w:hAnsi="仿宋" w:eastAsia="仿宋" w:cs="仿宋"/>
          <w:sz w:val="32"/>
          <w:szCs w:val="32"/>
          <w:highlight w:val="none"/>
        </w:rPr>
      </w:pPr>
      <w:r>
        <w:rPr>
          <w:rFonts w:hint="eastAsia" w:ascii="仿宋" w:hAnsi="仿宋" w:eastAsia="仿宋"/>
          <w:b/>
          <w:bCs/>
          <w:sz w:val="32"/>
          <w:szCs w:val="32"/>
          <w:highlight w:val="none"/>
        </w:rPr>
        <w:t>六、报价保证金</w:t>
      </w:r>
      <w:bookmarkEnd w:id="8"/>
    </w:p>
    <w:p w14:paraId="5B1A2FB2">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highlight w:val="none"/>
        </w:rPr>
        <w:t>1、</w:t>
      </w:r>
      <w:r>
        <w:rPr>
          <w:rFonts w:hint="eastAsia" w:ascii="仿宋" w:hAnsi="仿宋" w:eastAsia="仿宋"/>
          <w:sz w:val="32"/>
          <w:szCs w:val="32"/>
        </w:rPr>
        <w:t>各</w:t>
      </w:r>
      <w:r>
        <w:rPr>
          <w:rFonts w:hint="eastAsia" w:ascii="仿宋" w:hAnsi="仿宋" w:eastAsia="仿宋"/>
          <w:sz w:val="32"/>
          <w:szCs w:val="32"/>
          <w:lang w:eastAsia="zh-CN"/>
        </w:rPr>
        <w:t>响应人</w:t>
      </w:r>
      <w:r>
        <w:rPr>
          <w:rFonts w:hint="eastAsia" w:ascii="仿宋" w:hAnsi="仿宋" w:eastAsia="仿宋"/>
          <w:sz w:val="32"/>
          <w:szCs w:val="32"/>
        </w:rPr>
        <w:t>应按</w:t>
      </w:r>
      <w:r>
        <w:rPr>
          <w:rFonts w:hint="eastAsia" w:ascii="仿宋" w:hAnsi="仿宋" w:eastAsia="仿宋"/>
          <w:sz w:val="32"/>
          <w:szCs w:val="32"/>
          <w:lang w:val="en-US" w:eastAsia="zh-CN"/>
        </w:rPr>
        <w:t>采购</w:t>
      </w:r>
      <w:r>
        <w:rPr>
          <w:rFonts w:hint="eastAsia" w:ascii="仿宋" w:hAnsi="仿宋" w:eastAsia="仿宋"/>
          <w:sz w:val="32"/>
          <w:szCs w:val="32"/>
        </w:rPr>
        <w:t>文件规定的金额在</w:t>
      </w:r>
      <w:r>
        <w:rPr>
          <w:rFonts w:hint="eastAsia" w:ascii="仿宋" w:hAnsi="仿宋" w:eastAsia="仿宋"/>
          <w:b/>
          <w:bCs/>
          <w:sz w:val="32"/>
          <w:szCs w:val="32"/>
        </w:rPr>
        <w:t>项目开标前</w:t>
      </w:r>
      <w:r>
        <w:rPr>
          <w:rFonts w:hint="eastAsia" w:ascii="仿宋" w:hAnsi="仿宋" w:eastAsia="仿宋"/>
          <w:sz w:val="32"/>
          <w:szCs w:val="32"/>
        </w:rPr>
        <w:t>交纳</w:t>
      </w:r>
      <w:r>
        <w:rPr>
          <w:rFonts w:ascii="仿宋" w:hAnsi="仿宋" w:eastAsia="仿宋"/>
          <w:sz w:val="32"/>
          <w:szCs w:val="32"/>
        </w:rPr>
        <w:t>报价保证金到东莞市新东</w:t>
      </w:r>
      <w:r>
        <w:rPr>
          <w:rFonts w:hint="eastAsia" w:ascii="仿宋" w:hAnsi="仿宋" w:eastAsia="仿宋"/>
          <w:sz w:val="32"/>
          <w:szCs w:val="32"/>
        </w:rPr>
        <w:t>元</w:t>
      </w:r>
      <w:r>
        <w:rPr>
          <w:rFonts w:ascii="仿宋" w:hAnsi="仿宋" w:eastAsia="仿宋"/>
          <w:sz w:val="32"/>
          <w:szCs w:val="32"/>
        </w:rPr>
        <w:t>环保投资有限公司</w:t>
      </w:r>
      <w:r>
        <w:rPr>
          <w:rFonts w:hint="eastAsia" w:ascii="仿宋" w:hAnsi="仿宋" w:eastAsia="仿宋"/>
          <w:sz w:val="32"/>
          <w:szCs w:val="32"/>
        </w:rPr>
        <w:t>（银行转账，不接受第三方担保及现金），未成交的</w:t>
      </w:r>
      <w:r>
        <w:rPr>
          <w:rFonts w:hint="eastAsia" w:ascii="仿宋" w:hAnsi="仿宋" w:eastAsia="仿宋"/>
          <w:sz w:val="32"/>
          <w:szCs w:val="32"/>
          <w:lang w:eastAsia="zh-CN"/>
        </w:rPr>
        <w:t>响应人</w:t>
      </w:r>
      <w:r>
        <w:rPr>
          <w:rFonts w:hint="eastAsia" w:ascii="仿宋" w:hAnsi="仿宋" w:eastAsia="仿宋"/>
          <w:sz w:val="32"/>
          <w:szCs w:val="32"/>
        </w:rPr>
        <w:t>报价保证金在开标结束后由采购人申请无息退还</w:t>
      </w:r>
      <w:r>
        <w:rPr>
          <w:rFonts w:hint="eastAsia" w:ascii="仿宋" w:hAnsi="仿宋" w:eastAsia="仿宋"/>
          <w:sz w:val="32"/>
          <w:szCs w:val="32"/>
          <w:lang w:eastAsia="zh-CN"/>
        </w:rPr>
        <w:t>；</w:t>
      </w:r>
      <w:r>
        <w:rPr>
          <w:rFonts w:hint="eastAsia" w:ascii="仿宋" w:hAnsi="仿宋" w:eastAsia="仿宋"/>
          <w:sz w:val="32"/>
          <w:szCs w:val="32"/>
          <w:lang w:val="en-US" w:eastAsia="zh-CN"/>
        </w:rPr>
        <w:t>成交</w:t>
      </w:r>
      <w:r>
        <w:rPr>
          <w:rFonts w:hint="eastAsia" w:ascii="仿宋" w:hAnsi="仿宋" w:eastAsia="仿宋"/>
          <w:sz w:val="32"/>
          <w:szCs w:val="32"/>
          <w:lang w:eastAsia="zh-CN"/>
        </w:rPr>
        <w:t>人的</w:t>
      </w:r>
      <w:r>
        <w:rPr>
          <w:rFonts w:hint="eastAsia" w:ascii="仿宋" w:hAnsi="仿宋" w:eastAsia="仿宋"/>
          <w:sz w:val="32"/>
          <w:szCs w:val="32"/>
          <w:lang w:val="en-US" w:eastAsia="zh-CN"/>
        </w:rPr>
        <w:t>报价</w:t>
      </w:r>
      <w:r>
        <w:rPr>
          <w:rFonts w:hint="eastAsia" w:ascii="仿宋" w:hAnsi="仿宋" w:eastAsia="仿宋"/>
          <w:sz w:val="32"/>
          <w:szCs w:val="32"/>
          <w:lang w:eastAsia="zh-CN"/>
        </w:rPr>
        <w:t>保证金在采购合同签订并缴纳履约保证金后退还</w:t>
      </w:r>
      <w:r>
        <w:rPr>
          <w:rFonts w:hint="eastAsia" w:ascii="仿宋" w:hAnsi="仿宋" w:eastAsia="仿宋"/>
          <w:sz w:val="32"/>
          <w:szCs w:val="32"/>
        </w:rPr>
        <w:t>。</w:t>
      </w:r>
      <w:bookmarkStart w:id="9" w:name="_Hlk80275625"/>
    </w:p>
    <w:bookmarkEnd w:id="9"/>
    <w:p w14:paraId="2510D35E">
      <w:pPr>
        <w:spacing w:line="360" w:lineRule="auto"/>
        <w:ind w:firstLine="640" w:firstLineChars="200"/>
        <w:outlineLvl w:val="1"/>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响应人</w:t>
      </w:r>
      <w:r>
        <w:rPr>
          <w:rFonts w:hint="eastAsia" w:ascii="仿宋" w:hAnsi="仿宋" w:eastAsia="仿宋"/>
          <w:sz w:val="32"/>
          <w:szCs w:val="32"/>
        </w:rPr>
        <w:t>与交款人名称必须一致，非</w:t>
      </w:r>
      <w:r>
        <w:rPr>
          <w:rFonts w:hint="eastAsia" w:ascii="仿宋" w:hAnsi="仿宋" w:eastAsia="仿宋"/>
          <w:sz w:val="32"/>
          <w:szCs w:val="32"/>
          <w:lang w:eastAsia="zh-CN"/>
        </w:rPr>
        <w:t>响应人</w:t>
      </w:r>
      <w:r>
        <w:rPr>
          <w:rFonts w:hint="eastAsia" w:ascii="仿宋" w:hAnsi="仿宋" w:eastAsia="仿宋"/>
          <w:sz w:val="32"/>
          <w:szCs w:val="32"/>
        </w:rPr>
        <w:t>缴纳的报价保证金无效。</w:t>
      </w:r>
    </w:p>
    <w:p w14:paraId="1E78F19B">
      <w:pPr>
        <w:spacing w:line="360" w:lineRule="auto"/>
        <w:ind w:firstLine="640" w:firstLineChars="200"/>
        <w:outlineLvl w:val="1"/>
        <w:rPr>
          <w:rFonts w:hint="eastAsia" w:ascii="仿宋" w:hAnsi="仿宋" w:eastAsia="仿宋"/>
          <w:sz w:val="32"/>
          <w:szCs w:val="32"/>
        </w:rPr>
      </w:pPr>
      <w:r>
        <w:rPr>
          <w:rFonts w:hint="eastAsia" w:ascii="仿宋" w:hAnsi="仿宋" w:eastAsia="仿宋"/>
          <w:sz w:val="32"/>
          <w:szCs w:val="32"/>
        </w:rPr>
        <w:t>3、报价保证金金额：</w:t>
      </w:r>
    </w:p>
    <w:p w14:paraId="546135D0">
      <w:pPr>
        <w:spacing w:line="360" w:lineRule="auto"/>
        <w:ind w:firstLine="640" w:firstLineChars="200"/>
        <w:outlineLvl w:val="1"/>
        <w:rPr>
          <w:rFonts w:hint="eastAsia" w:ascii="仿宋" w:hAnsi="仿宋" w:eastAsia="仿宋"/>
          <w:sz w:val="32"/>
          <w:szCs w:val="32"/>
        </w:rPr>
      </w:pPr>
      <w:r>
        <w:rPr>
          <w:rFonts w:hint="eastAsia" w:ascii="仿宋" w:hAnsi="仿宋" w:eastAsia="仿宋"/>
          <w:sz w:val="32"/>
          <w:szCs w:val="32"/>
          <w:lang w:val="en-US" w:eastAsia="zh-CN"/>
        </w:rPr>
        <w:t>A</w:t>
      </w:r>
      <w:r>
        <w:rPr>
          <w:rFonts w:hint="eastAsia" w:ascii="仿宋" w:hAnsi="仿宋" w:eastAsia="仿宋"/>
          <w:sz w:val="32"/>
          <w:szCs w:val="32"/>
        </w:rPr>
        <w:t>包（</w:t>
      </w:r>
      <w:r>
        <w:rPr>
          <w:rFonts w:hint="eastAsia" w:ascii="仿宋" w:hAnsi="仿宋" w:eastAsia="仿宋"/>
          <w:sz w:val="32"/>
          <w:szCs w:val="32"/>
          <w:lang w:val="en-US" w:eastAsia="zh-CN"/>
        </w:rPr>
        <w:t>氨水</w:t>
      </w:r>
      <w:r>
        <w:rPr>
          <w:rFonts w:hint="eastAsia" w:ascii="仿宋" w:hAnsi="仿宋" w:eastAsia="仿宋"/>
          <w:sz w:val="32"/>
          <w:szCs w:val="32"/>
        </w:rPr>
        <w:t>）：34,000.00（大写：人民币叁万肆仟元整）；</w:t>
      </w:r>
    </w:p>
    <w:p w14:paraId="0369D234">
      <w:pPr>
        <w:spacing w:line="360" w:lineRule="auto"/>
        <w:ind w:firstLine="640" w:firstLineChars="200"/>
        <w:outlineLvl w:val="1"/>
        <w:rPr>
          <w:rFonts w:hint="eastAsia" w:ascii="仿宋" w:hAnsi="仿宋" w:eastAsia="仿宋"/>
          <w:sz w:val="32"/>
          <w:szCs w:val="32"/>
          <w:lang w:eastAsia="zh-CN"/>
        </w:rPr>
      </w:pPr>
      <w:r>
        <w:rPr>
          <w:rFonts w:hint="eastAsia" w:ascii="仿宋" w:hAnsi="仿宋" w:eastAsia="仿宋"/>
          <w:sz w:val="32"/>
          <w:szCs w:val="32"/>
          <w:lang w:val="en-US" w:eastAsia="zh-CN"/>
        </w:rPr>
        <w:t>B</w:t>
      </w:r>
      <w:r>
        <w:rPr>
          <w:rFonts w:hint="eastAsia" w:ascii="仿宋" w:hAnsi="仿宋" w:eastAsia="仿宋"/>
          <w:sz w:val="32"/>
          <w:szCs w:val="32"/>
        </w:rPr>
        <w:t>包（</w:t>
      </w:r>
      <w:r>
        <w:rPr>
          <w:rFonts w:hint="eastAsia" w:ascii="仿宋" w:hAnsi="仿宋" w:eastAsia="仿宋"/>
          <w:sz w:val="32"/>
          <w:szCs w:val="32"/>
          <w:lang w:val="en-US" w:eastAsia="zh-CN"/>
        </w:rPr>
        <w:t>水处理药剂</w:t>
      </w:r>
      <w:r>
        <w:rPr>
          <w:rFonts w:hint="eastAsia" w:ascii="仿宋" w:hAnsi="仿宋" w:eastAsia="仿宋"/>
          <w:sz w:val="32"/>
          <w:szCs w:val="32"/>
        </w:rPr>
        <w:t>）：2</w:t>
      </w:r>
      <w:r>
        <w:rPr>
          <w:rFonts w:hint="eastAsia" w:ascii="仿宋" w:hAnsi="仿宋" w:eastAsia="仿宋"/>
          <w:sz w:val="32"/>
          <w:szCs w:val="32"/>
          <w:lang w:val="en-US" w:eastAsia="zh-CN"/>
        </w:rPr>
        <w:t>2</w:t>
      </w:r>
      <w:r>
        <w:rPr>
          <w:rFonts w:hint="eastAsia" w:ascii="仿宋" w:hAnsi="仿宋" w:eastAsia="仿宋"/>
          <w:sz w:val="32"/>
          <w:szCs w:val="32"/>
        </w:rPr>
        <w:t>,000.00（大写：人民币贰万</w:t>
      </w:r>
      <w:r>
        <w:rPr>
          <w:rFonts w:hint="eastAsia" w:ascii="仿宋" w:hAnsi="仿宋" w:eastAsia="仿宋"/>
          <w:sz w:val="32"/>
          <w:szCs w:val="32"/>
          <w:lang w:val="en-US" w:eastAsia="zh-CN"/>
        </w:rPr>
        <w:t>贰</w:t>
      </w:r>
      <w:r>
        <w:rPr>
          <w:rFonts w:hint="eastAsia" w:ascii="仿宋" w:hAnsi="仿宋" w:eastAsia="仿宋"/>
          <w:sz w:val="32"/>
          <w:szCs w:val="32"/>
        </w:rPr>
        <w:t>仟元整）</w:t>
      </w:r>
      <w:r>
        <w:rPr>
          <w:rFonts w:hint="eastAsia" w:ascii="仿宋" w:hAnsi="仿宋" w:eastAsia="仿宋"/>
          <w:sz w:val="32"/>
          <w:szCs w:val="32"/>
          <w:lang w:eastAsia="zh-CN"/>
        </w:rPr>
        <w:t>；</w:t>
      </w:r>
    </w:p>
    <w:p w14:paraId="4B35FE95">
      <w:pPr>
        <w:spacing w:line="360" w:lineRule="auto"/>
        <w:ind w:firstLine="643" w:firstLineChars="200"/>
        <w:outlineLvl w:val="1"/>
        <w:rPr>
          <w:rFonts w:hint="eastAsia" w:ascii="仿宋" w:hAnsi="仿宋" w:eastAsia="仿宋"/>
          <w:b/>
          <w:bCs/>
          <w:sz w:val="32"/>
          <w:szCs w:val="32"/>
        </w:rPr>
      </w:pPr>
      <w:r>
        <w:rPr>
          <w:rFonts w:hint="eastAsia" w:ascii="仿宋" w:hAnsi="仿宋" w:eastAsia="仿宋"/>
          <w:b/>
          <w:bCs/>
          <w:sz w:val="32"/>
          <w:szCs w:val="32"/>
        </w:rPr>
        <w:t>每个子包的报价保证金须单独单笔转账，参与</w:t>
      </w:r>
      <w:r>
        <w:rPr>
          <w:rFonts w:hint="eastAsia" w:ascii="仿宋" w:hAnsi="仿宋" w:eastAsia="仿宋"/>
          <w:b/>
          <w:bCs/>
          <w:sz w:val="32"/>
          <w:szCs w:val="32"/>
          <w:lang w:val="en-US" w:eastAsia="zh-CN"/>
        </w:rPr>
        <w:t>2</w:t>
      </w:r>
      <w:r>
        <w:rPr>
          <w:rFonts w:hint="eastAsia" w:ascii="仿宋" w:hAnsi="仿宋" w:eastAsia="仿宋"/>
          <w:b/>
          <w:bCs/>
          <w:sz w:val="32"/>
          <w:szCs w:val="32"/>
        </w:rPr>
        <w:t>个包的</w:t>
      </w:r>
      <w:r>
        <w:rPr>
          <w:rFonts w:hint="eastAsia" w:ascii="仿宋" w:hAnsi="仿宋" w:eastAsia="仿宋"/>
          <w:b/>
          <w:bCs/>
          <w:sz w:val="32"/>
          <w:szCs w:val="32"/>
          <w:lang w:eastAsia="zh-CN"/>
        </w:rPr>
        <w:t>响应人</w:t>
      </w:r>
      <w:r>
        <w:rPr>
          <w:rFonts w:hint="eastAsia" w:ascii="仿宋" w:hAnsi="仿宋" w:eastAsia="仿宋"/>
          <w:b/>
          <w:bCs/>
          <w:sz w:val="32"/>
          <w:szCs w:val="32"/>
        </w:rPr>
        <w:t>不得以</w:t>
      </w:r>
      <w:r>
        <w:rPr>
          <w:rFonts w:hint="eastAsia" w:ascii="仿宋" w:hAnsi="仿宋" w:eastAsia="仿宋"/>
          <w:b/>
          <w:bCs/>
          <w:sz w:val="32"/>
          <w:szCs w:val="32"/>
          <w:lang w:val="en-US" w:eastAsia="zh-CN"/>
        </w:rPr>
        <w:t>2</w:t>
      </w:r>
      <w:r>
        <w:rPr>
          <w:rFonts w:hint="eastAsia" w:ascii="仿宋" w:hAnsi="仿宋" w:eastAsia="仿宋"/>
          <w:b/>
          <w:bCs/>
          <w:sz w:val="32"/>
          <w:szCs w:val="32"/>
        </w:rPr>
        <w:t>个包报价保证金总价转账，否则视为报价保证金无效。</w:t>
      </w:r>
    </w:p>
    <w:p w14:paraId="4063EF5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val="en-US" w:eastAsia="zh-CN"/>
        </w:rPr>
        <w:t>2</w:t>
      </w:r>
      <w:r>
        <w:rPr>
          <w:rFonts w:hint="eastAsia" w:ascii="仿宋" w:hAnsi="仿宋" w:eastAsia="仿宋"/>
          <w:sz w:val="32"/>
          <w:szCs w:val="32"/>
          <w:highlight w:val="none"/>
        </w:rPr>
        <w:t>、报价保证金收款账户信息：</w:t>
      </w:r>
    </w:p>
    <w:p w14:paraId="6CC07EC5">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帐户名称：东莞市新东元环保投资有限公司</w:t>
      </w:r>
    </w:p>
    <w:p w14:paraId="0B237D63">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 xml:space="preserve">开户银行：中国银行股份有限公司东莞分行 </w:t>
      </w:r>
    </w:p>
    <w:p w14:paraId="5822FE41">
      <w:pPr>
        <w:pStyle w:val="15"/>
        <w:ind w:left="0" w:leftChars="0" w:firstLine="640" w:firstLineChars="200"/>
        <w:rPr>
          <w:highlight w:val="none"/>
        </w:rPr>
      </w:pPr>
      <w:r>
        <w:rPr>
          <w:rFonts w:hint="eastAsia" w:ascii="仿宋" w:hAnsi="仿宋" w:eastAsia="仿宋"/>
          <w:sz w:val="32"/>
          <w:szCs w:val="32"/>
          <w:highlight w:val="none"/>
        </w:rPr>
        <w:t>银行帐号：669170104633</w:t>
      </w:r>
      <w:bookmarkStart w:id="10" w:name="_Toc22752_WPSOffice_Level1"/>
    </w:p>
    <w:p w14:paraId="44A5B4CA">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七</w:t>
      </w:r>
      <w:r>
        <w:rPr>
          <w:rFonts w:ascii="仿宋" w:hAnsi="仿宋" w:eastAsia="仿宋"/>
          <w:b/>
          <w:bCs/>
          <w:sz w:val="32"/>
          <w:szCs w:val="32"/>
          <w:highlight w:val="none"/>
        </w:rPr>
        <w:t>、支付方式</w:t>
      </w:r>
      <w:bookmarkEnd w:id="10"/>
    </w:p>
    <w:p w14:paraId="7386176E">
      <w:pPr>
        <w:pStyle w:val="7"/>
        <w:spacing w:line="360" w:lineRule="auto"/>
        <w:ind w:firstLine="640" w:firstLineChars="200"/>
        <w:rPr>
          <w:rFonts w:hint="eastAsia" w:ascii="仿宋" w:hAnsi="仿宋" w:eastAsia="仿宋" w:cs="仿宋"/>
          <w:sz w:val="32"/>
          <w:szCs w:val="32"/>
        </w:rPr>
      </w:pPr>
      <w:r>
        <w:rPr>
          <w:rFonts w:hint="eastAsia" w:ascii="仿宋" w:hAnsi="仿宋" w:eastAsia="仿宋" w:cs="仿宋"/>
          <w:sz w:val="32"/>
          <w:szCs w:val="32"/>
        </w:rPr>
        <w:t>按月结方式支付，每自然月结束后，</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人向采购人申请结算上月货物货款。结算数量按上月</w:t>
      </w:r>
      <w:r>
        <w:rPr>
          <w:rFonts w:hint="eastAsia" w:ascii="仿宋" w:hAnsi="仿宋" w:eastAsia="仿宋" w:cs="仿宋"/>
          <w:sz w:val="32"/>
          <w:szCs w:val="32"/>
          <w:lang w:val="en-US" w:eastAsia="zh-CN"/>
        </w:rPr>
        <w:t>成交</w:t>
      </w:r>
      <w:r>
        <w:rPr>
          <w:rFonts w:hint="eastAsia" w:ascii="仿宋" w:hAnsi="仿宋" w:eastAsia="仿宋" w:cs="仿宋"/>
          <w:sz w:val="32"/>
          <w:szCs w:val="32"/>
        </w:rPr>
        <w:t>人标的货物经采购人验收合格的数量（对质量有争议的部分暂时不予结算支付），并且在采购人收到</w:t>
      </w:r>
      <w:r>
        <w:rPr>
          <w:rFonts w:hint="eastAsia" w:ascii="仿宋" w:hAnsi="仿宋" w:eastAsia="仿宋" w:cs="仿宋"/>
          <w:sz w:val="32"/>
          <w:szCs w:val="32"/>
          <w:lang w:val="en-US" w:eastAsia="zh-CN"/>
        </w:rPr>
        <w:t>成交</w:t>
      </w:r>
      <w:r>
        <w:rPr>
          <w:rFonts w:hint="eastAsia" w:ascii="仿宋" w:hAnsi="仿宋" w:eastAsia="仿宋" w:cs="仿宋"/>
          <w:sz w:val="32"/>
          <w:szCs w:val="32"/>
        </w:rPr>
        <w:t>人交付的以下资料后三十个工作日内以电汇/转账方式向</w:t>
      </w:r>
      <w:r>
        <w:rPr>
          <w:rFonts w:hint="eastAsia" w:ascii="仿宋" w:hAnsi="仿宋" w:eastAsia="仿宋" w:cs="仿宋"/>
          <w:sz w:val="32"/>
          <w:szCs w:val="32"/>
          <w:lang w:eastAsia="zh-CN"/>
        </w:rPr>
        <w:t>成交人</w:t>
      </w:r>
      <w:r>
        <w:rPr>
          <w:rFonts w:hint="eastAsia" w:ascii="仿宋" w:hAnsi="仿宋" w:eastAsia="仿宋" w:cs="仿宋"/>
          <w:sz w:val="32"/>
          <w:szCs w:val="32"/>
        </w:rPr>
        <w:t>支付：</w:t>
      </w:r>
    </w:p>
    <w:p w14:paraId="7A3DDE5A">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A．（货物的过磅计量清单）标的货物经采购人地磅计量的实际重量；</w:t>
      </w:r>
    </w:p>
    <w:p w14:paraId="32882B97">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B．开具金额为该月验收合格货物总价100％的增值税专用发票（在合同履行期间，如遇国家的税率调整，则货款（价税合计）应根据原不含税价和调整后的税率重新计算，相应发票按调整后价格开具）；</w:t>
      </w:r>
    </w:p>
    <w:p w14:paraId="2CFD144D">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C．</w:t>
      </w:r>
      <w:r>
        <w:rPr>
          <w:rFonts w:hint="eastAsia" w:ascii="仿宋" w:hAnsi="仿宋" w:eastAsia="仿宋" w:cs="仿宋"/>
          <w:sz w:val="32"/>
          <w:szCs w:val="32"/>
          <w:lang w:val="en-US" w:eastAsia="zh-CN"/>
        </w:rPr>
        <w:t>成交</w:t>
      </w:r>
      <w:r>
        <w:rPr>
          <w:rFonts w:hint="eastAsia" w:ascii="仿宋" w:hAnsi="仿宋" w:eastAsia="仿宋" w:cs="仿宋"/>
          <w:sz w:val="32"/>
          <w:szCs w:val="32"/>
        </w:rPr>
        <w:t>人向采购人缴纳的履约担保证明资料（首次支付时需要）；</w:t>
      </w:r>
    </w:p>
    <w:p w14:paraId="04009CA7">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D．每车次货物采购人实验室初步检验报告及采购人对异议货物要求</w:t>
      </w:r>
      <w:r>
        <w:rPr>
          <w:rFonts w:hint="eastAsia" w:ascii="仿宋" w:hAnsi="仿宋" w:eastAsia="仿宋" w:cs="仿宋"/>
          <w:sz w:val="32"/>
          <w:szCs w:val="32"/>
          <w:lang w:val="en-US" w:eastAsia="zh-CN"/>
        </w:rPr>
        <w:t>成交</w:t>
      </w:r>
      <w:r>
        <w:rPr>
          <w:rFonts w:hint="eastAsia" w:ascii="仿宋" w:hAnsi="仿宋" w:eastAsia="仿宋" w:cs="仿宋"/>
          <w:sz w:val="32"/>
          <w:szCs w:val="32"/>
        </w:rPr>
        <w:t>人委托第三方出具的合格检测报告（如有）；</w:t>
      </w:r>
    </w:p>
    <w:p w14:paraId="26865B81">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E．送货清单（采购人指定收货人签字确认）；</w:t>
      </w:r>
    </w:p>
    <w:p w14:paraId="0B713D7B">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F．每车次货物出厂化验报告；</w:t>
      </w:r>
    </w:p>
    <w:p w14:paraId="12505474">
      <w:pPr>
        <w:pStyle w:val="7"/>
        <w:spacing w:line="360" w:lineRule="auto"/>
        <w:ind w:firstLine="646" w:firstLineChars="202"/>
        <w:rPr>
          <w:rFonts w:hint="eastAsia" w:ascii="仿宋" w:hAnsi="仿宋" w:eastAsia="仿宋" w:cs="仿宋"/>
          <w:sz w:val="32"/>
          <w:szCs w:val="32"/>
        </w:rPr>
      </w:pPr>
      <w:r>
        <w:rPr>
          <w:rFonts w:hint="eastAsia" w:ascii="仿宋" w:hAnsi="仿宋" w:eastAsia="仿宋" w:cs="仿宋"/>
          <w:sz w:val="32"/>
          <w:szCs w:val="32"/>
        </w:rPr>
        <w:t>G. 双方盖章确认的月度对账单；</w:t>
      </w:r>
    </w:p>
    <w:p w14:paraId="679D3FCD">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八</w:t>
      </w:r>
      <w:r>
        <w:rPr>
          <w:rFonts w:ascii="仿宋" w:hAnsi="仿宋" w:eastAsia="仿宋"/>
          <w:b/>
          <w:bCs/>
          <w:sz w:val="32"/>
          <w:szCs w:val="32"/>
          <w:highlight w:val="none"/>
        </w:rPr>
        <w:t>、报价</w:t>
      </w:r>
    </w:p>
    <w:p w14:paraId="0DC9BFF6">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本项目</w:t>
      </w:r>
      <w:bookmarkStart w:id="11" w:name="_Hlk38315765"/>
      <w:r>
        <w:rPr>
          <w:rFonts w:hint="eastAsia" w:ascii="仿宋" w:hAnsi="仿宋" w:eastAsia="仿宋"/>
          <w:sz w:val="32"/>
          <w:szCs w:val="32"/>
          <w:highlight w:val="none"/>
        </w:rPr>
        <w:t>为固定</w:t>
      </w:r>
      <w:r>
        <w:rPr>
          <w:rFonts w:hint="eastAsia" w:ascii="仿宋" w:hAnsi="仿宋" w:eastAsia="仿宋"/>
          <w:sz w:val="32"/>
          <w:szCs w:val="32"/>
          <w:highlight w:val="none"/>
          <w:lang w:val="en-US" w:eastAsia="zh-CN"/>
        </w:rPr>
        <w:t>单价暂定总价</w:t>
      </w:r>
      <w:r>
        <w:rPr>
          <w:rFonts w:hint="eastAsia" w:ascii="仿宋" w:hAnsi="仿宋" w:eastAsia="仿宋"/>
          <w:sz w:val="32"/>
          <w:szCs w:val="32"/>
          <w:highlight w:val="none"/>
        </w:rPr>
        <w:t>包干，报价包含货物、税费、人工费、装卸费、运费、服务费等一切为满足项目实施可能产生</w:t>
      </w:r>
      <w:r>
        <w:rPr>
          <w:rFonts w:ascii="仿宋" w:hAnsi="仿宋" w:eastAsia="仿宋"/>
          <w:sz w:val="32"/>
          <w:szCs w:val="32"/>
          <w:highlight w:val="none"/>
        </w:rPr>
        <w:t>的费用</w:t>
      </w:r>
      <w:r>
        <w:rPr>
          <w:rFonts w:hint="eastAsia" w:ascii="仿宋" w:hAnsi="仿宋" w:eastAsia="仿宋"/>
          <w:sz w:val="32"/>
          <w:szCs w:val="32"/>
          <w:highlight w:val="none"/>
        </w:rPr>
        <w:t>。</w:t>
      </w:r>
      <w:bookmarkEnd w:id="11"/>
    </w:p>
    <w:p w14:paraId="6F030EBE">
      <w:pPr>
        <w:spacing w:line="360" w:lineRule="auto"/>
        <w:ind w:firstLine="643" w:firstLineChars="200"/>
        <w:outlineLvl w:val="1"/>
        <w:rPr>
          <w:rFonts w:hint="default" w:ascii="仿宋" w:hAnsi="仿宋" w:eastAsia="仿宋" w:cs="Times New Roman"/>
          <w:b/>
          <w:bCs/>
          <w:sz w:val="32"/>
          <w:szCs w:val="32"/>
          <w:highlight w:val="none"/>
        </w:rPr>
      </w:pPr>
      <w:r>
        <w:rPr>
          <w:rFonts w:hint="eastAsia" w:ascii="仿宋" w:hAnsi="仿宋" w:eastAsia="仿宋" w:cs="Times New Roman"/>
          <w:b/>
          <w:bCs/>
          <w:sz w:val="32"/>
          <w:szCs w:val="32"/>
          <w:highlight w:val="none"/>
        </w:rPr>
        <w:t>响应人的综合单价报价任意一项高于单价最高限价的，该响应人的响应文件将被视为无效响应</w:t>
      </w:r>
      <w:r>
        <w:rPr>
          <w:rFonts w:hint="eastAsia" w:ascii="仿宋" w:hAnsi="仿宋" w:eastAsia="仿宋" w:cs="Times New Roman"/>
          <w:b/>
          <w:bCs/>
          <w:sz w:val="32"/>
          <w:szCs w:val="32"/>
          <w:highlight w:val="none"/>
          <w:lang w:eastAsia="zh-CN"/>
        </w:rPr>
        <w:t>。单价最高限价</w:t>
      </w:r>
      <w:r>
        <w:rPr>
          <w:rFonts w:hint="eastAsia" w:ascii="仿宋" w:hAnsi="仿宋" w:eastAsia="仿宋" w:cs="Times New Roman"/>
          <w:b/>
          <w:bCs/>
          <w:sz w:val="32"/>
          <w:szCs w:val="32"/>
          <w:highlight w:val="none"/>
          <w:lang w:val="en-US" w:eastAsia="zh-CN"/>
        </w:rPr>
        <w:t>详见附件八《东莞市海心沙资源综合利用中心环保热电厂2026年度氨水及水处理药剂采购项目需求书》。</w:t>
      </w:r>
    </w:p>
    <w:p w14:paraId="1FF2516E">
      <w:pPr>
        <w:spacing w:line="360" w:lineRule="auto"/>
        <w:ind w:firstLine="643" w:firstLineChars="200"/>
        <w:outlineLvl w:val="1"/>
        <w:rPr>
          <w:rFonts w:ascii="仿宋" w:hAnsi="仿宋" w:eastAsia="仿宋"/>
          <w:b/>
          <w:bCs/>
          <w:sz w:val="32"/>
          <w:szCs w:val="32"/>
          <w:highlight w:val="none"/>
        </w:rPr>
      </w:pPr>
      <w:bookmarkStart w:id="12" w:name="_Toc6431_WPSOffice_Level1"/>
      <w:r>
        <w:rPr>
          <w:rFonts w:hint="eastAsia" w:ascii="仿宋" w:hAnsi="仿宋" w:eastAsia="仿宋"/>
          <w:b/>
          <w:bCs/>
          <w:sz w:val="32"/>
          <w:szCs w:val="32"/>
          <w:highlight w:val="none"/>
        </w:rPr>
        <w:t>九</w:t>
      </w:r>
      <w:r>
        <w:rPr>
          <w:rFonts w:ascii="仿宋" w:hAnsi="仿宋" w:eastAsia="仿宋"/>
          <w:b/>
          <w:bCs/>
          <w:sz w:val="32"/>
          <w:szCs w:val="32"/>
          <w:highlight w:val="none"/>
        </w:rPr>
        <w:t>、定标</w:t>
      </w:r>
      <w:bookmarkEnd w:id="12"/>
    </w:p>
    <w:p w14:paraId="3D0FF475">
      <w:pPr>
        <w:spacing w:line="360" w:lineRule="auto"/>
        <w:ind w:firstLine="640" w:firstLineChars="200"/>
        <w:outlineLvl w:val="1"/>
        <w:rPr>
          <w:rFonts w:hint="eastAsia" w:ascii="仿宋" w:hAnsi="仿宋" w:eastAsia="仿宋"/>
          <w:b w:val="0"/>
          <w:bCs w:val="0"/>
          <w:sz w:val="32"/>
          <w:szCs w:val="32"/>
          <w:highlight w:val="none"/>
        </w:rPr>
      </w:pPr>
      <w:bookmarkStart w:id="13" w:name="_Toc17260_WPSOffice_Level1"/>
      <w:r>
        <w:rPr>
          <w:rFonts w:hint="eastAsia" w:ascii="仿宋" w:hAnsi="仿宋" w:eastAsia="仿宋"/>
          <w:b w:val="0"/>
          <w:bCs w:val="0"/>
          <w:sz w:val="32"/>
          <w:szCs w:val="32"/>
          <w:highlight w:val="none"/>
        </w:rPr>
        <w:t>1、本次项目采用询价方式进行采购，询价小组对各供应商响应文件进行审核，并根据质量和服务均能满足采购文件实质性响应要求且含税报价最低的原则，推荐成交候选供应商。如最低报价相同，则给与最低报价相同的响应人二次报价的机会；如二次报价还相同，则采用现场随机抽签方式确定。</w:t>
      </w:r>
    </w:p>
    <w:p w14:paraId="3C3502B7">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2、询价结束后，采购工作小组将相关询价情况按程序审批并确定成交人。</w:t>
      </w:r>
    </w:p>
    <w:p w14:paraId="3082D9D2">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3、本项目如发生多次采购，根据以下情况可以现场申请转换采购方式继续采购：</w:t>
      </w:r>
    </w:p>
    <w:p w14:paraId="219CF9E0">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（1）当有效供应商只有2家时，经招采小组论证，采购文件没有不合理条款、采购程序符合规定的，经采购人和作出实质性响应的供应商代表同意后，可现场更改为2家供应商继续竞争性谈判采购。</w:t>
      </w:r>
    </w:p>
    <w:p w14:paraId="6EAE2D9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（2）当有效供应商只有1家时，经招采小组论证，采购文件没有不合理条款、采购程序符合规定的，经采购人和作出实质性响应的供应商代表同意后，可现场更改为1家供应商继续定向谈判采购。</w:t>
      </w:r>
    </w:p>
    <w:p w14:paraId="5FE11811">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（3）若不同意转换采购方式，退出投标的供应商，投标保证金按采购文件规定退还。</w:t>
      </w:r>
    </w:p>
    <w:p w14:paraId="0F9CFB35">
      <w:pPr>
        <w:spacing w:line="360" w:lineRule="auto"/>
        <w:ind w:firstLine="640" w:firstLineChars="200"/>
        <w:outlineLvl w:val="1"/>
        <w:rPr>
          <w:rFonts w:hint="eastAsia" w:ascii="仿宋" w:hAnsi="仿宋" w:eastAsia="仿宋"/>
          <w:b w:val="0"/>
          <w:bCs w:val="0"/>
          <w:sz w:val="32"/>
          <w:szCs w:val="32"/>
          <w:highlight w:val="none"/>
        </w:rPr>
      </w:pPr>
      <w:r>
        <w:rPr>
          <w:rFonts w:hint="eastAsia" w:ascii="仿宋" w:hAnsi="仿宋" w:eastAsia="仿宋"/>
          <w:b w:val="0"/>
          <w:bCs w:val="0"/>
          <w:sz w:val="32"/>
          <w:szCs w:val="32"/>
          <w:highlight w:val="none"/>
        </w:rPr>
        <w:t>4、如采购人对采购标的整体或主要部件有约定多个品牌且采购项目采用最低评标价法的，提供相同品牌产品的不同响应人参加同一合同项下报价，以其中通过资格审查、符合性审查且报价最低的响应人参加评标（或参与转方式采购）；如以上响应人报价相同的，则采取随机抽取方式确定参加评标（或参与转方式采购）的响应人，其他响应人报价无效。</w:t>
      </w:r>
    </w:p>
    <w:p w14:paraId="4614EC5F">
      <w:pPr>
        <w:spacing w:line="360" w:lineRule="auto"/>
        <w:ind w:firstLine="643" w:firstLineChars="200"/>
        <w:outlineLvl w:val="1"/>
        <w:rPr>
          <w:rFonts w:ascii="仿宋" w:hAnsi="仿宋" w:eastAsia="仿宋"/>
          <w:b/>
          <w:bCs/>
          <w:sz w:val="32"/>
          <w:szCs w:val="32"/>
          <w:highlight w:val="none"/>
        </w:rPr>
      </w:pPr>
      <w:r>
        <w:rPr>
          <w:rFonts w:hint="eastAsia" w:ascii="仿宋" w:hAnsi="仿宋" w:eastAsia="仿宋"/>
          <w:b/>
          <w:bCs/>
          <w:sz w:val="32"/>
          <w:szCs w:val="32"/>
          <w:highlight w:val="none"/>
        </w:rPr>
        <w:t>十</w:t>
      </w:r>
      <w:r>
        <w:rPr>
          <w:rFonts w:ascii="仿宋" w:hAnsi="仿宋" w:eastAsia="仿宋"/>
          <w:b/>
          <w:bCs/>
          <w:sz w:val="32"/>
          <w:szCs w:val="32"/>
          <w:highlight w:val="none"/>
        </w:rPr>
        <w:t>、采取的合同文本</w:t>
      </w:r>
      <w:bookmarkEnd w:id="13"/>
    </w:p>
    <w:p w14:paraId="27BB30A7">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合同签订的依据为询价</w:t>
      </w:r>
      <w:r>
        <w:rPr>
          <w:rFonts w:hint="eastAsia" w:ascii="仿宋" w:hAnsi="仿宋" w:eastAsia="仿宋"/>
          <w:sz w:val="32"/>
          <w:szCs w:val="32"/>
          <w:highlight w:val="none"/>
        </w:rPr>
        <w:t>文件</w:t>
      </w:r>
      <w:r>
        <w:rPr>
          <w:rFonts w:ascii="仿宋" w:hAnsi="仿宋" w:eastAsia="仿宋"/>
          <w:sz w:val="32"/>
          <w:szCs w:val="32"/>
          <w:highlight w:val="none"/>
        </w:rPr>
        <w:t>、</w:t>
      </w:r>
      <w:r>
        <w:rPr>
          <w:rFonts w:hint="eastAsia" w:ascii="仿宋" w:hAnsi="仿宋" w:eastAsia="仿宋"/>
          <w:sz w:val="32"/>
          <w:szCs w:val="32"/>
          <w:highlight w:val="none"/>
          <w:lang w:eastAsia="zh-CN"/>
        </w:rPr>
        <w:t>响应文件</w:t>
      </w:r>
      <w:r>
        <w:rPr>
          <w:rFonts w:ascii="仿宋" w:hAnsi="仿宋" w:eastAsia="仿宋"/>
          <w:sz w:val="32"/>
          <w:szCs w:val="32"/>
          <w:highlight w:val="none"/>
        </w:rPr>
        <w:t>及补充说明等。确定</w:t>
      </w:r>
      <w:r>
        <w:rPr>
          <w:rFonts w:hint="eastAsia" w:ascii="仿宋" w:hAnsi="仿宋" w:eastAsia="仿宋"/>
          <w:sz w:val="32"/>
          <w:szCs w:val="32"/>
          <w:highlight w:val="none"/>
        </w:rPr>
        <w:t>成交人</w:t>
      </w:r>
      <w:r>
        <w:rPr>
          <w:rFonts w:ascii="仿宋" w:hAnsi="仿宋" w:eastAsia="仿宋"/>
          <w:sz w:val="32"/>
          <w:szCs w:val="32"/>
          <w:highlight w:val="none"/>
        </w:rPr>
        <w:t>后，</w:t>
      </w:r>
      <w:r>
        <w:rPr>
          <w:rFonts w:hint="eastAsia" w:ascii="仿宋" w:hAnsi="仿宋" w:eastAsia="仿宋"/>
          <w:sz w:val="32"/>
          <w:szCs w:val="32"/>
          <w:highlight w:val="none"/>
        </w:rPr>
        <w:t>成交人</w:t>
      </w:r>
      <w:r>
        <w:rPr>
          <w:rFonts w:ascii="仿宋" w:hAnsi="仿宋" w:eastAsia="仿宋"/>
          <w:sz w:val="32"/>
          <w:szCs w:val="32"/>
          <w:highlight w:val="none"/>
        </w:rPr>
        <w:t>在1</w:t>
      </w:r>
      <w:r>
        <w:rPr>
          <w:rFonts w:hint="eastAsia" w:ascii="仿宋" w:hAnsi="仿宋" w:eastAsia="仿宋"/>
          <w:sz w:val="32"/>
          <w:szCs w:val="32"/>
          <w:highlight w:val="none"/>
        </w:rPr>
        <w:t>5个工作日</w:t>
      </w:r>
      <w:r>
        <w:rPr>
          <w:rFonts w:ascii="仿宋" w:hAnsi="仿宋" w:eastAsia="仿宋"/>
          <w:sz w:val="32"/>
          <w:szCs w:val="32"/>
          <w:highlight w:val="none"/>
        </w:rPr>
        <w:t>内与采购人签订合同</w:t>
      </w:r>
      <w:r>
        <w:rPr>
          <w:rFonts w:hint="eastAsia" w:ascii="仿宋" w:hAnsi="仿宋" w:eastAsia="仿宋"/>
          <w:sz w:val="32"/>
          <w:szCs w:val="32"/>
          <w:highlight w:val="none"/>
        </w:rPr>
        <w:t>（详见附件合同模板）</w:t>
      </w:r>
      <w:r>
        <w:rPr>
          <w:rFonts w:ascii="仿宋" w:hAnsi="仿宋" w:eastAsia="仿宋"/>
          <w:sz w:val="32"/>
          <w:szCs w:val="32"/>
          <w:highlight w:val="none"/>
        </w:rPr>
        <w:t>。</w:t>
      </w:r>
    </w:p>
    <w:p w14:paraId="6B4CDF31">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收款前需向采购人提供请款材料和开具合法有效等额的增值税专用发票，否则采购人有权拒绝付款。</w:t>
      </w:r>
    </w:p>
    <w:p w14:paraId="6C6276E9">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hint="eastAsia" w:ascii="仿宋" w:hAnsi="仿宋" w:eastAsia="仿宋"/>
          <w:b/>
          <w:bCs/>
          <w:sz w:val="32"/>
          <w:szCs w:val="32"/>
          <w:highlight w:val="none"/>
        </w:rPr>
        <w:t>十一</w:t>
      </w:r>
      <w:r>
        <w:rPr>
          <w:rFonts w:ascii="仿宋" w:hAnsi="仿宋" w:eastAsia="仿宋"/>
          <w:b/>
          <w:bCs/>
          <w:sz w:val="32"/>
          <w:szCs w:val="32"/>
          <w:highlight w:val="none"/>
        </w:rPr>
        <w:t>、</w:t>
      </w:r>
      <w:r>
        <w:rPr>
          <w:rFonts w:hint="eastAsia" w:ascii="仿宋" w:hAnsi="仿宋" w:eastAsia="仿宋"/>
          <w:b/>
          <w:bCs/>
          <w:sz w:val="32"/>
          <w:szCs w:val="32"/>
          <w:highlight w:val="none"/>
          <w:lang w:eastAsia="zh-CN"/>
        </w:rPr>
        <w:t>响应文件</w:t>
      </w:r>
      <w:r>
        <w:rPr>
          <w:rFonts w:ascii="仿宋" w:hAnsi="仿宋" w:eastAsia="仿宋"/>
          <w:b/>
          <w:bCs/>
          <w:sz w:val="32"/>
          <w:szCs w:val="32"/>
          <w:highlight w:val="none"/>
        </w:rPr>
        <w:t>的组成部分</w:t>
      </w:r>
      <w:r>
        <w:rPr>
          <w:rFonts w:hint="eastAsia" w:ascii="仿宋" w:hAnsi="仿宋" w:eastAsia="仿宋"/>
          <w:b/>
          <w:bCs/>
          <w:sz w:val="32"/>
          <w:szCs w:val="32"/>
          <w:highlight w:val="none"/>
        </w:rPr>
        <w:t>（</w:t>
      </w:r>
      <w:r>
        <w:rPr>
          <w:rFonts w:hint="eastAsia" w:ascii="仿宋" w:hAnsi="仿宋" w:eastAsia="仿宋"/>
          <w:b/>
          <w:bCs/>
          <w:sz w:val="32"/>
          <w:szCs w:val="32"/>
          <w:highlight w:val="none"/>
          <w:lang w:eastAsia="zh-CN"/>
        </w:rPr>
        <w:t>响应人</w:t>
      </w:r>
      <w:r>
        <w:rPr>
          <w:rFonts w:hint="eastAsia" w:ascii="仿宋" w:hAnsi="仿宋" w:eastAsia="仿宋"/>
          <w:b/>
          <w:bCs/>
          <w:sz w:val="32"/>
          <w:szCs w:val="32"/>
          <w:highlight w:val="none"/>
        </w:rPr>
        <w:t>如未按本项要求提供资料，则作无效报价处理）</w:t>
      </w:r>
    </w:p>
    <w:p w14:paraId="68470619">
      <w:pPr>
        <w:numPr>
          <w:ilvl w:val="0"/>
          <w:numId w:val="1"/>
        </w:numPr>
        <w:spacing w:line="360" w:lineRule="auto"/>
        <w:ind w:left="-10" w:leftChars="0" w:firstLine="640" w:firstLineChars="0"/>
        <w:outlineLvl w:val="1"/>
        <w:rPr>
          <w:rFonts w:ascii="仿宋" w:hAnsi="仿宋" w:eastAsia="仿宋"/>
          <w:sz w:val="32"/>
          <w:szCs w:val="32"/>
          <w:highlight w:val="none"/>
        </w:rPr>
      </w:pPr>
      <w:bookmarkStart w:id="14" w:name="_Toc22880_WPSOffice_Level2"/>
      <w:r>
        <w:rPr>
          <w:rFonts w:ascii="仿宋" w:hAnsi="仿宋" w:eastAsia="仿宋"/>
          <w:sz w:val="32"/>
          <w:szCs w:val="32"/>
          <w:highlight w:val="none"/>
        </w:rPr>
        <w:t>报价函（模板</w:t>
      </w:r>
      <w:r>
        <w:rPr>
          <w:rFonts w:hint="eastAsia" w:ascii="仿宋" w:hAnsi="仿宋" w:eastAsia="仿宋"/>
          <w:sz w:val="32"/>
          <w:szCs w:val="32"/>
          <w:highlight w:val="none"/>
        </w:rPr>
        <w:t>，详见附件</w:t>
      </w:r>
      <w:r>
        <w:rPr>
          <w:rFonts w:ascii="仿宋" w:hAnsi="仿宋" w:eastAsia="仿宋"/>
          <w:sz w:val="32"/>
          <w:szCs w:val="32"/>
          <w:highlight w:val="none"/>
        </w:rPr>
        <w:t>）</w:t>
      </w:r>
      <w:r>
        <w:rPr>
          <w:rFonts w:hint="eastAsia" w:ascii="仿宋" w:hAnsi="仿宋" w:eastAsia="仿宋"/>
          <w:sz w:val="32"/>
          <w:szCs w:val="32"/>
          <w:highlight w:val="none"/>
        </w:rPr>
        <w:t>及报价清单（</w:t>
      </w:r>
      <w:r>
        <w:rPr>
          <w:rFonts w:hint="eastAsia" w:ascii="仿宋" w:hAnsi="仿宋" w:eastAsia="仿宋"/>
          <w:sz w:val="32"/>
          <w:szCs w:val="32"/>
          <w:highlight w:val="none"/>
          <w:lang w:val="en-US" w:eastAsia="zh-CN"/>
        </w:rPr>
        <w:t>自拟</w:t>
      </w:r>
      <w:r>
        <w:rPr>
          <w:rFonts w:hint="eastAsia" w:ascii="仿宋" w:hAnsi="仿宋" w:eastAsia="仿宋"/>
          <w:sz w:val="32"/>
          <w:szCs w:val="32"/>
          <w:highlight w:val="none"/>
        </w:rPr>
        <w:t>，详见附件八，必须包含本项目所有的子项报价）；</w:t>
      </w:r>
      <w:bookmarkEnd w:id="14"/>
    </w:p>
    <w:p w14:paraId="0599D299">
      <w:pPr>
        <w:spacing w:line="360" w:lineRule="auto"/>
        <w:ind w:firstLine="640" w:firstLineChars="200"/>
        <w:outlineLvl w:val="1"/>
        <w:rPr>
          <w:rFonts w:ascii="仿宋" w:hAnsi="仿宋" w:eastAsia="仿宋"/>
          <w:sz w:val="32"/>
          <w:szCs w:val="32"/>
          <w:highlight w:val="none"/>
        </w:rPr>
      </w:pPr>
      <w:bookmarkStart w:id="15" w:name="_Toc28023_WPSOffice_Level2"/>
      <w:r>
        <w:rPr>
          <w:rFonts w:ascii="仿宋" w:hAnsi="仿宋" w:eastAsia="仿宋"/>
          <w:sz w:val="32"/>
          <w:szCs w:val="32"/>
          <w:highlight w:val="none"/>
        </w:rPr>
        <w:t>2、法人证明（模板</w:t>
      </w:r>
      <w:r>
        <w:rPr>
          <w:rFonts w:hint="eastAsia" w:ascii="仿宋" w:hAnsi="仿宋" w:eastAsia="仿宋"/>
          <w:sz w:val="32"/>
          <w:szCs w:val="32"/>
          <w:highlight w:val="none"/>
        </w:rPr>
        <w:t>，详见附件</w:t>
      </w:r>
      <w:r>
        <w:rPr>
          <w:rFonts w:ascii="仿宋" w:hAnsi="仿宋" w:eastAsia="仿宋"/>
          <w:sz w:val="32"/>
          <w:szCs w:val="32"/>
          <w:highlight w:val="none"/>
        </w:rPr>
        <w:t>）以及法人身份证复印件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5"/>
    </w:p>
    <w:p w14:paraId="7936618E">
      <w:pPr>
        <w:spacing w:line="360" w:lineRule="auto"/>
        <w:ind w:firstLine="640" w:firstLineChars="200"/>
        <w:outlineLvl w:val="1"/>
        <w:rPr>
          <w:rFonts w:ascii="仿宋" w:hAnsi="仿宋" w:eastAsia="仿宋"/>
          <w:sz w:val="32"/>
          <w:szCs w:val="32"/>
          <w:highlight w:val="none"/>
        </w:rPr>
      </w:pPr>
      <w:bookmarkStart w:id="16" w:name="_Toc13465_WPSOffice_Level2"/>
      <w:r>
        <w:rPr>
          <w:rFonts w:ascii="仿宋" w:hAnsi="仿宋" w:eastAsia="仿宋"/>
          <w:sz w:val="32"/>
          <w:szCs w:val="32"/>
          <w:highlight w:val="none"/>
        </w:rPr>
        <w:t>3、法人授权书（模板</w:t>
      </w:r>
      <w:r>
        <w:rPr>
          <w:rFonts w:hint="eastAsia" w:ascii="仿宋" w:hAnsi="仿宋" w:eastAsia="仿宋"/>
          <w:sz w:val="32"/>
          <w:szCs w:val="32"/>
          <w:highlight w:val="none"/>
        </w:rPr>
        <w:t>，详见附件</w:t>
      </w:r>
      <w:r>
        <w:rPr>
          <w:rFonts w:ascii="仿宋" w:hAnsi="仿宋" w:eastAsia="仿宋"/>
          <w:sz w:val="32"/>
          <w:szCs w:val="32"/>
          <w:highlight w:val="none"/>
        </w:rPr>
        <w:t>）及被委托人身份证复印件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6"/>
    </w:p>
    <w:p w14:paraId="326DD7D9">
      <w:pPr>
        <w:spacing w:line="360" w:lineRule="auto"/>
        <w:ind w:firstLine="640" w:firstLineChars="200"/>
        <w:outlineLvl w:val="1"/>
        <w:rPr>
          <w:rFonts w:ascii="仿宋" w:hAnsi="仿宋" w:eastAsia="仿宋"/>
          <w:sz w:val="32"/>
          <w:szCs w:val="32"/>
          <w:highlight w:val="none"/>
        </w:rPr>
      </w:pPr>
      <w:bookmarkStart w:id="17" w:name="_Toc5169_WPSOffice_Level2"/>
      <w:r>
        <w:rPr>
          <w:rFonts w:ascii="仿宋" w:hAnsi="仿宋" w:eastAsia="仿宋"/>
          <w:sz w:val="32"/>
          <w:szCs w:val="32"/>
          <w:highlight w:val="none"/>
        </w:rPr>
        <w:t>4、</w:t>
      </w:r>
      <w:r>
        <w:rPr>
          <w:rFonts w:hint="eastAsia" w:ascii="仿宋" w:hAnsi="仿宋" w:eastAsia="仿宋"/>
          <w:sz w:val="32"/>
          <w:szCs w:val="32"/>
          <w:highlight w:val="none"/>
          <w:lang w:eastAsia="zh-CN"/>
        </w:rPr>
        <w:t>响应人</w:t>
      </w:r>
      <w:r>
        <w:rPr>
          <w:rFonts w:ascii="仿宋" w:hAnsi="仿宋" w:eastAsia="仿宋"/>
          <w:sz w:val="32"/>
          <w:szCs w:val="32"/>
          <w:highlight w:val="none"/>
        </w:rPr>
        <w:t>营业执照复印件</w:t>
      </w:r>
      <w:r>
        <w:rPr>
          <w:rFonts w:hint="eastAsia" w:eastAsia="仿宋_GB2312"/>
          <w:color w:val="000000" w:themeColor="text1"/>
          <w:sz w:val="32"/>
          <w:szCs w:val="32"/>
          <w:highlight w:val="none"/>
          <w14:textFill>
            <w14:solidFill>
              <w14:schemeClr w14:val="tx1"/>
            </w14:solidFill>
          </w14:textFill>
        </w:rPr>
        <w:t>并加盖公章</w:t>
      </w:r>
      <w:r>
        <w:rPr>
          <w:rFonts w:ascii="仿宋" w:hAnsi="仿宋" w:eastAsia="仿宋"/>
          <w:sz w:val="32"/>
          <w:szCs w:val="32"/>
          <w:highlight w:val="none"/>
        </w:rPr>
        <w:t>；</w:t>
      </w:r>
      <w:bookmarkEnd w:id="17"/>
    </w:p>
    <w:p w14:paraId="790486BB">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rPr>
        <w:t>5、业绩证明材料（按本项目</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资格要求提供资料，加盖公章）；</w:t>
      </w:r>
    </w:p>
    <w:p w14:paraId="614E304C">
      <w:pPr>
        <w:pStyle w:val="7"/>
        <w:ind w:firstLine="640" w:firstLineChars="200"/>
        <w:rPr>
          <w:rFonts w:hint="eastAsia" w:ascii="仿宋" w:hAnsi="仿宋" w:eastAsia="仿宋"/>
          <w:sz w:val="32"/>
          <w:szCs w:val="32"/>
          <w:highlight w:val="none"/>
          <w:lang w:val="en-US" w:eastAsia="zh-CN"/>
        </w:rPr>
      </w:pPr>
      <w:r>
        <w:rPr>
          <w:rFonts w:hint="eastAsia" w:ascii="仿宋" w:hAnsi="仿宋" w:eastAsia="仿宋"/>
          <w:sz w:val="32"/>
          <w:szCs w:val="32"/>
          <w:highlight w:val="none"/>
          <w:lang w:val="en-US" w:eastAsia="zh-CN"/>
        </w:rPr>
        <w:t>6、响应人报价截止日前6个月内任意1个月依法缴纳税收证明材料。如依法免税的，须提供相应证明材料。(证明材料须加盖公章)</w:t>
      </w:r>
    </w:p>
    <w:p w14:paraId="72792A54">
      <w:pPr>
        <w:pStyle w:val="8"/>
        <w:numPr>
          <w:ilvl w:val="0"/>
          <w:numId w:val="0"/>
        </w:numPr>
        <w:ind w:firstLine="480" w:firstLineChars="150"/>
        <w:rPr>
          <w:rFonts w:hint="eastAsia"/>
          <w:lang w:val="en-US" w:eastAsia="zh-CN"/>
        </w:rPr>
      </w:pPr>
      <w:r>
        <w:rPr>
          <w:rFonts w:hint="eastAsia" w:ascii="仿宋" w:hAnsi="仿宋" w:eastAsia="仿宋"/>
          <w:sz w:val="32"/>
          <w:szCs w:val="32"/>
          <w:highlight w:val="none"/>
          <w:lang w:val="en-US" w:eastAsia="zh-CN"/>
        </w:rPr>
        <w:t>7、响应人报价截止日前6个月内开具的无欠税证明材料（在全国统一规范电子税务局平台开具，证明材料须加盖公章）</w:t>
      </w:r>
      <w:r>
        <w:rPr>
          <w:rFonts w:hint="eastAsia" w:ascii="Times New Roman" w:hAnsi="Times New Roman" w:eastAsia="仿宋_GB2312" w:cs="Times New Roman"/>
          <w:color w:val="000000"/>
          <w:kern w:val="2"/>
          <w:sz w:val="32"/>
          <w:szCs w:val="32"/>
          <w:lang w:val="en-US" w:eastAsia="zh-CN" w:bidi="ar-SA"/>
        </w:rPr>
        <w:t>；</w:t>
      </w:r>
    </w:p>
    <w:p w14:paraId="653FC881">
      <w:pPr>
        <w:spacing w:line="360" w:lineRule="auto"/>
        <w:ind w:firstLine="640" w:firstLineChars="200"/>
        <w:outlineLvl w:val="1"/>
        <w:rPr>
          <w:rFonts w:ascii="仿宋" w:hAnsi="仿宋" w:eastAsia="仿宋"/>
          <w:sz w:val="32"/>
          <w:szCs w:val="32"/>
          <w:highlight w:val="none"/>
        </w:rPr>
      </w:pPr>
      <w:r>
        <w:rPr>
          <w:rFonts w:hint="eastAsia" w:eastAsia="仿宋" w:cs="Times New Roman"/>
          <w:b w:val="0"/>
          <w:bCs w:val="0"/>
          <w:sz w:val="32"/>
          <w:szCs w:val="32"/>
          <w:highlight w:val="none"/>
          <w:lang w:val="en-US" w:eastAsia="zh-CN"/>
        </w:rPr>
        <w:t>8</w:t>
      </w:r>
      <w:r>
        <w:rPr>
          <w:rFonts w:hint="default" w:ascii="Times New Roman" w:hAnsi="Times New Roman" w:eastAsia="仿宋" w:cs="Times New Roman"/>
          <w:b w:val="0"/>
          <w:bCs w:val="0"/>
          <w:sz w:val="32"/>
          <w:szCs w:val="32"/>
          <w:highlight w:val="none"/>
        </w:rPr>
        <w:t>、</w:t>
      </w:r>
      <w:bookmarkStart w:id="18" w:name="_Toc6431_WPSOffice_Level2"/>
      <w:r>
        <w:rPr>
          <w:rFonts w:hint="default" w:ascii="Times New Roman" w:hAnsi="Times New Roman" w:eastAsia="仿宋" w:cs="Times New Roman"/>
          <w:sz w:val="32"/>
          <w:szCs w:val="32"/>
          <w:highlight w:val="none"/>
        </w:rPr>
        <w:t>本项目询价文件</w:t>
      </w:r>
      <w:r>
        <w:rPr>
          <w:rFonts w:hint="eastAsia" w:eastAsia="仿宋" w:cs="Times New Roman"/>
          <w:sz w:val="32"/>
          <w:szCs w:val="32"/>
          <w:highlight w:val="none"/>
          <w:lang w:val="en-US" w:eastAsia="zh-CN"/>
        </w:rPr>
        <w:t>响应人资格</w:t>
      </w:r>
      <w:r>
        <w:rPr>
          <w:rFonts w:hint="default" w:ascii="Times New Roman" w:hAnsi="Times New Roman" w:eastAsia="仿宋" w:cs="Times New Roman"/>
          <w:sz w:val="32"/>
          <w:szCs w:val="32"/>
          <w:highlight w:val="none"/>
        </w:rPr>
        <w:t>要求或</w:t>
      </w:r>
      <w:r>
        <w:rPr>
          <w:rFonts w:hint="eastAsia" w:eastAsia="仿宋" w:cs="Times New Roman"/>
          <w:sz w:val="32"/>
          <w:szCs w:val="32"/>
          <w:highlight w:val="none"/>
          <w:lang w:eastAsia="zh-CN"/>
        </w:rPr>
        <w:t>响应人</w:t>
      </w:r>
      <w:r>
        <w:rPr>
          <w:rFonts w:hint="default" w:ascii="Times New Roman" w:hAnsi="Times New Roman" w:eastAsia="仿宋" w:cs="Times New Roman"/>
          <w:sz w:val="32"/>
          <w:szCs w:val="32"/>
          <w:highlight w:val="none"/>
        </w:rPr>
        <w:t>认为应补充的其他资料</w:t>
      </w:r>
      <w:r>
        <w:rPr>
          <w:rFonts w:ascii="仿宋" w:hAnsi="仿宋" w:eastAsia="仿宋"/>
          <w:sz w:val="32"/>
          <w:szCs w:val="32"/>
          <w:highlight w:val="none"/>
        </w:rPr>
        <w:t>（如有</w:t>
      </w:r>
      <w:r>
        <w:rPr>
          <w:rFonts w:hint="eastAsia" w:ascii="仿宋" w:hAnsi="仿宋" w:eastAsia="仿宋"/>
          <w:sz w:val="32"/>
          <w:szCs w:val="32"/>
          <w:highlight w:val="none"/>
        </w:rPr>
        <w:t>，加盖公章</w:t>
      </w:r>
      <w:r>
        <w:rPr>
          <w:rFonts w:ascii="仿宋" w:hAnsi="仿宋" w:eastAsia="仿宋"/>
          <w:sz w:val="32"/>
          <w:szCs w:val="32"/>
          <w:highlight w:val="none"/>
        </w:rPr>
        <w:t>）。</w:t>
      </w:r>
      <w:bookmarkEnd w:id="18"/>
    </w:p>
    <w:p w14:paraId="4FCB9CBB">
      <w:pPr>
        <w:spacing w:line="360" w:lineRule="auto"/>
        <w:ind w:firstLine="640" w:firstLineChars="200"/>
        <w:rPr>
          <w:rFonts w:hint="eastAsia" w:ascii="仿宋" w:hAnsi="仿宋" w:eastAsia="仿宋"/>
          <w:b w:val="0"/>
          <w:bCs w:val="0"/>
          <w:sz w:val="32"/>
          <w:szCs w:val="32"/>
          <w:highlight w:val="none"/>
        </w:rPr>
      </w:pPr>
      <w:bookmarkStart w:id="19" w:name="_Toc17260_WPSOffice_Level2"/>
      <w:r>
        <w:rPr>
          <w:rFonts w:hint="eastAsia" w:ascii="仿宋" w:hAnsi="仿宋" w:eastAsia="仿宋"/>
          <w:b w:val="0"/>
          <w:bCs w:val="0"/>
          <w:sz w:val="32"/>
          <w:szCs w:val="32"/>
          <w:highlight w:val="none"/>
          <w:lang w:val="en-US" w:eastAsia="zh-CN"/>
        </w:rPr>
        <w:t>9</w:t>
      </w:r>
      <w:r>
        <w:rPr>
          <w:rFonts w:hint="eastAsia" w:ascii="仿宋" w:hAnsi="仿宋" w:eastAsia="仿宋"/>
          <w:b w:val="0"/>
          <w:bCs w:val="0"/>
          <w:sz w:val="32"/>
          <w:szCs w:val="32"/>
          <w:highlight w:val="none"/>
        </w:rPr>
        <w:t>、</w:t>
      </w:r>
      <w:r>
        <w:rPr>
          <w:rFonts w:hint="eastAsia" w:eastAsia="仿宋_GB2312"/>
          <w:b w:val="0"/>
          <w:bCs w:val="0"/>
          <w:color w:val="000000"/>
          <w:sz w:val="32"/>
          <w:szCs w:val="32"/>
          <w:highlight w:val="none"/>
          <w:lang w:val="en-US" w:eastAsia="zh-CN"/>
        </w:rPr>
        <w:t>响应承诺函</w:t>
      </w:r>
      <w:r>
        <w:rPr>
          <w:rFonts w:hint="eastAsia" w:eastAsia="仿宋_GB2312"/>
          <w:b w:val="0"/>
          <w:bCs w:val="0"/>
          <w:color w:val="000000"/>
          <w:sz w:val="32"/>
          <w:szCs w:val="32"/>
          <w:highlight w:val="none"/>
        </w:rPr>
        <w:t>（模板，详见附件</w:t>
      </w:r>
      <w:r>
        <w:rPr>
          <w:rFonts w:hint="eastAsia" w:eastAsia="仿宋_GB2312"/>
          <w:b w:val="0"/>
          <w:bCs w:val="0"/>
          <w:color w:val="000000"/>
          <w:sz w:val="32"/>
          <w:szCs w:val="32"/>
          <w:highlight w:val="none"/>
          <w:lang w:eastAsia="zh-CN"/>
        </w:rPr>
        <w:t>，</w:t>
      </w:r>
      <w:r>
        <w:rPr>
          <w:rFonts w:hint="eastAsia" w:eastAsia="仿宋_GB2312"/>
          <w:b w:val="0"/>
          <w:bCs w:val="0"/>
          <w:color w:val="000000"/>
          <w:sz w:val="32"/>
          <w:szCs w:val="32"/>
          <w:highlight w:val="none"/>
          <w:lang w:val="en-US" w:eastAsia="zh-CN"/>
        </w:rPr>
        <w:t>加盖公章</w:t>
      </w:r>
      <w:r>
        <w:rPr>
          <w:rFonts w:hint="eastAsia" w:eastAsia="仿宋_GB2312"/>
          <w:b w:val="0"/>
          <w:bCs w:val="0"/>
          <w:color w:val="000000"/>
          <w:sz w:val="32"/>
          <w:szCs w:val="32"/>
          <w:highlight w:val="none"/>
        </w:rPr>
        <w:t>）</w:t>
      </w:r>
    </w:p>
    <w:p w14:paraId="755CD1FA">
      <w:pPr>
        <w:spacing w:line="360" w:lineRule="auto"/>
        <w:ind w:firstLine="640" w:firstLineChars="200"/>
        <w:rPr>
          <w:rFonts w:eastAsia="仿宋_GB2312"/>
          <w:sz w:val="32"/>
          <w:szCs w:val="32"/>
          <w:highlight w:val="none"/>
        </w:rPr>
      </w:pPr>
      <w:r>
        <w:rPr>
          <w:rFonts w:hint="eastAsia" w:ascii="仿宋" w:hAnsi="仿宋" w:eastAsia="仿宋"/>
          <w:sz w:val="32"/>
          <w:szCs w:val="32"/>
          <w:highlight w:val="none"/>
          <w:lang w:val="en-US" w:eastAsia="zh-CN"/>
        </w:rPr>
        <w:t>10、</w:t>
      </w:r>
      <w:r>
        <w:rPr>
          <w:rFonts w:hint="eastAsia" w:eastAsia="仿宋_GB2312"/>
          <w:sz w:val="32"/>
          <w:szCs w:val="32"/>
          <w:highlight w:val="none"/>
          <w:lang w:eastAsia="zh-CN"/>
        </w:rPr>
        <w:t>响应人</w:t>
      </w:r>
      <w:r>
        <w:rPr>
          <w:rFonts w:hint="eastAsia" w:eastAsia="仿宋_GB2312"/>
          <w:sz w:val="32"/>
          <w:szCs w:val="32"/>
          <w:highlight w:val="none"/>
        </w:rPr>
        <w:t>未到场声明（</w:t>
      </w:r>
      <w:r>
        <w:rPr>
          <w:rFonts w:hint="eastAsia" w:eastAsia="仿宋_GB2312"/>
          <w:sz w:val="32"/>
          <w:szCs w:val="32"/>
          <w:highlight w:val="none"/>
          <w:lang w:val="en-US" w:eastAsia="zh-CN"/>
        </w:rPr>
        <w:t>未参与现场开标必须提供</w:t>
      </w:r>
      <w:r>
        <w:rPr>
          <w:rFonts w:hint="eastAsia" w:eastAsia="仿宋_GB2312"/>
          <w:sz w:val="32"/>
          <w:szCs w:val="32"/>
          <w:highlight w:val="none"/>
        </w:rPr>
        <w:t>，详见附件）</w:t>
      </w:r>
      <w:bookmarkEnd w:id="19"/>
      <w:r>
        <w:rPr>
          <w:rFonts w:hint="eastAsia" w:eastAsia="仿宋_GB2312"/>
          <w:color w:val="000000" w:themeColor="text1"/>
          <w:sz w:val="32"/>
          <w:szCs w:val="32"/>
          <w:highlight w:val="none"/>
          <w14:textFill>
            <w14:solidFill>
              <w14:schemeClr w14:val="tx1"/>
            </w14:solidFill>
          </w14:textFill>
        </w:rPr>
        <w:t>。</w:t>
      </w:r>
    </w:p>
    <w:p w14:paraId="5AA8AC72">
      <w:pPr>
        <w:spacing w:line="360" w:lineRule="auto"/>
        <w:ind w:firstLine="640" w:firstLineChars="200"/>
        <w:outlineLvl w:val="1"/>
        <w:rPr>
          <w:rFonts w:ascii="仿宋" w:hAnsi="仿宋" w:eastAsia="仿宋"/>
          <w:b/>
          <w:bCs/>
          <w:sz w:val="32"/>
          <w:szCs w:val="32"/>
          <w:highlight w:val="none"/>
        </w:rPr>
      </w:pPr>
      <w:r>
        <w:rPr>
          <w:rFonts w:ascii="仿宋" w:hAnsi="仿宋" w:eastAsia="仿宋"/>
          <w:sz w:val="32"/>
          <w:szCs w:val="32"/>
          <w:highlight w:val="none"/>
        </w:rPr>
        <w:sym w:font="Wingdings" w:char="00AB"/>
      </w:r>
      <w:r>
        <w:rPr>
          <w:rFonts w:ascii="仿宋" w:hAnsi="仿宋" w:eastAsia="仿宋"/>
          <w:b/>
          <w:bCs/>
          <w:sz w:val="32"/>
          <w:szCs w:val="32"/>
          <w:highlight w:val="none"/>
        </w:rPr>
        <w:t>十</w:t>
      </w:r>
      <w:r>
        <w:rPr>
          <w:rFonts w:hint="eastAsia" w:ascii="仿宋" w:hAnsi="仿宋" w:eastAsia="仿宋"/>
          <w:b/>
          <w:bCs/>
          <w:sz w:val="32"/>
          <w:szCs w:val="32"/>
          <w:highlight w:val="none"/>
        </w:rPr>
        <w:t>二</w:t>
      </w:r>
      <w:r>
        <w:rPr>
          <w:rFonts w:ascii="仿宋" w:hAnsi="仿宋" w:eastAsia="仿宋"/>
          <w:b/>
          <w:bCs/>
          <w:sz w:val="32"/>
          <w:szCs w:val="32"/>
          <w:highlight w:val="none"/>
        </w:rPr>
        <w:t>、</w:t>
      </w:r>
      <w:r>
        <w:rPr>
          <w:rFonts w:hint="eastAsia" w:ascii="仿宋" w:hAnsi="仿宋" w:eastAsia="仿宋"/>
          <w:b/>
          <w:bCs/>
          <w:sz w:val="32"/>
          <w:szCs w:val="32"/>
          <w:highlight w:val="none"/>
        </w:rPr>
        <w:t>响应文件份数及要求</w:t>
      </w:r>
    </w:p>
    <w:p w14:paraId="0C3D1AA2">
      <w:pPr>
        <w:pStyle w:val="7"/>
        <w:ind w:firstLine="640" w:firstLineChars="200"/>
        <w:rPr>
          <w:rFonts w:ascii="仿宋" w:hAnsi="仿宋" w:eastAsia="仿宋"/>
          <w:sz w:val="32"/>
          <w:szCs w:val="32"/>
          <w:highlight w:val="none"/>
        </w:rPr>
      </w:pPr>
      <w:r>
        <w:rPr>
          <w:rFonts w:hint="eastAsia" w:ascii="仿宋" w:hAnsi="仿宋" w:eastAsia="仿宋"/>
          <w:sz w:val="32"/>
          <w:szCs w:val="32"/>
          <w:highlight w:val="none"/>
        </w:rPr>
        <w:t>1、正本一份、副本一份。</w:t>
      </w:r>
    </w:p>
    <w:p w14:paraId="7491A78E">
      <w:pPr>
        <w:pStyle w:val="7"/>
        <w:ind w:firstLine="640" w:firstLineChars="200"/>
        <w:rPr>
          <w:rFonts w:ascii="仿宋" w:hAnsi="仿宋" w:eastAsia="仿宋"/>
          <w:sz w:val="32"/>
          <w:szCs w:val="32"/>
          <w:highlight w:val="none"/>
        </w:rPr>
      </w:pPr>
      <w:r>
        <w:rPr>
          <w:rFonts w:hint="eastAsia" w:ascii="仿宋" w:hAnsi="仿宋" w:eastAsia="仿宋"/>
          <w:sz w:val="32"/>
          <w:szCs w:val="32"/>
          <w:highlight w:val="none"/>
        </w:rPr>
        <w:t>2、</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须严格按照采购人提供的表单格式及要求报价，响应文件必须装订或胶装成册，正本必须每页加盖公章，副本可使用正本复印件</w:t>
      </w:r>
      <w:r>
        <w:rPr>
          <w:rFonts w:hint="eastAsia" w:ascii="仿宋" w:hAnsi="仿宋" w:eastAsia="仿宋"/>
          <w:sz w:val="32"/>
          <w:szCs w:val="32"/>
          <w:highlight w:val="none"/>
          <w:lang w:val="en-US" w:eastAsia="zh-CN"/>
        </w:rPr>
        <w:t>但必须</w:t>
      </w:r>
      <w:r>
        <w:rPr>
          <w:rFonts w:hint="eastAsia" w:ascii="仿宋" w:hAnsi="仿宋" w:eastAsia="仿宋"/>
          <w:sz w:val="32"/>
          <w:szCs w:val="32"/>
          <w:highlight w:val="none"/>
        </w:rPr>
        <w:t>于封面及骑缝处加盖公章。</w:t>
      </w:r>
    </w:p>
    <w:p w14:paraId="31D41200">
      <w:pPr>
        <w:pStyle w:val="7"/>
        <w:ind w:firstLine="640" w:firstLineChars="200"/>
        <w:rPr>
          <w:rFonts w:ascii="仿宋" w:hAnsi="仿宋" w:eastAsia="仿宋"/>
          <w:sz w:val="32"/>
          <w:szCs w:val="32"/>
          <w:highlight w:val="none"/>
        </w:rPr>
      </w:pPr>
      <w:r>
        <w:rPr>
          <w:rFonts w:hint="eastAsia" w:ascii="仿宋" w:hAnsi="仿宋" w:eastAsia="仿宋"/>
          <w:sz w:val="32"/>
          <w:szCs w:val="32"/>
          <w:highlight w:val="none"/>
        </w:rPr>
        <w:t>3、响应文件必须密封完好，装有响应文件的文件袋须贴有密封条，于骑缝处加盖企业公章。不得以快递文件袋作为密封。</w:t>
      </w:r>
    </w:p>
    <w:p w14:paraId="296F47E2">
      <w:pPr>
        <w:pStyle w:val="7"/>
        <w:ind w:firstLine="640" w:firstLineChars="200"/>
        <w:rPr>
          <w:rFonts w:ascii="仿宋" w:hAnsi="仿宋" w:eastAsia="仿宋"/>
          <w:sz w:val="32"/>
          <w:szCs w:val="32"/>
          <w:highlight w:val="none"/>
        </w:rPr>
      </w:pPr>
      <w:r>
        <w:rPr>
          <w:rFonts w:hint="eastAsia" w:ascii="仿宋" w:hAnsi="仿宋" w:eastAsia="仿宋"/>
          <w:sz w:val="32"/>
          <w:szCs w:val="32"/>
          <w:highlight w:val="none"/>
        </w:rPr>
        <w:t>4、</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所递交的响应文件必须为盖章原件，公章、私章或签字不得为彩色/黑白的打印件/复印件。</w:t>
      </w:r>
    </w:p>
    <w:p w14:paraId="225A70C3">
      <w:pPr>
        <w:pStyle w:val="7"/>
        <w:ind w:firstLine="640" w:firstLineChars="200"/>
        <w:rPr>
          <w:rFonts w:ascii="仿宋" w:hAnsi="仿宋" w:eastAsia="仿宋"/>
          <w:sz w:val="32"/>
          <w:szCs w:val="32"/>
          <w:highlight w:val="none"/>
        </w:rPr>
      </w:pPr>
      <w:r>
        <w:rPr>
          <w:rFonts w:hint="eastAsia" w:ascii="仿宋" w:hAnsi="仿宋" w:eastAsia="仿宋"/>
          <w:sz w:val="32"/>
          <w:szCs w:val="32"/>
          <w:highlight w:val="none"/>
        </w:rPr>
        <w:t>5、</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需将本项目密封文件袋封面（附件一）粘贴于响应文件密封袋上。</w:t>
      </w:r>
    </w:p>
    <w:p w14:paraId="292AB79B">
      <w:pPr>
        <w:pStyle w:val="7"/>
        <w:spacing w:line="360" w:lineRule="auto"/>
        <w:ind w:firstLine="640" w:firstLineChars="200"/>
        <w:rPr>
          <w:rFonts w:ascii="仿宋" w:hAnsi="仿宋" w:eastAsia="仿宋"/>
          <w:sz w:val="32"/>
          <w:szCs w:val="32"/>
          <w:highlight w:val="none"/>
        </w:rPr>
      </w:pPr>
      <w:r>
        <w:rPr>
          <w:rFonts w:hint="eastAsia" w:ascii="仿宋" w:hAnsi="仿宋" w:eastAsia="仿宋"/>
          <w:sz w:val="32"/>
          <w:szCs w:val="32"/>
          <w:highlight w:val="none"/>
        </w:rPr>
        <w:t>6、不符合本项要求的响应文件为无效报价。</w:t>
      </w:r>
    </w:p>
    <w:p w14:paraId="449C1BE6">
      <w:pPr>
        <w:spacing w:line="360" w:lineRule="auto"/>
        <w:ind w:firstLine="643" w:firstLineChars="200"/>
        <w:outlineLvl w:val="1"/>
        <w:rPr>
          <w:rFonts w:ascii="仿宋" w:hAnsi="仿宋" w:eastAsia="仿宋"/>
          <w:b/>
          <w:bCs/>
          <w:sz w:val="32"/>
          <w:szCs w:val="32"/>
          <w:highlight w:val="none"/>
        </w:rPr>
      </w:pPr>
      <w:bookmarkStart w:id="20" w:name="_Toc406_WPSOffice_Level1"/>
      <w:r>
        <w:rPr>
          <w:rFonts w:ascii="仿宋" w:hAnsi="仿宋" w:eastAsia="仿宋"/>
          <w:b/>
          <w:bCs/>
          <w:sz w:val="32"/>
          <w:szCs w:val="32"/>
          <w:highlight w:val="none"/>
        </w:rPr>
        <w:t>十</w:t>
      </w:r>
      <w:r>
        <w:rPr>
          <w:rFonts w:hint="eastAsia" w:ascii="仿宋" w:hAnsi="仿宋" w:eastAsia="仿宋"/>
          <w:b/>
          <w:bCs/>
          <w:sz w:val="32"/>
          <w:szCs w:val="32"/>
          <w:highlight w:val="none"/>
        </w:rPr>
        <w:t>三</w:t>
      </w:r>
      <w:r>
        <w:rPr>
          <w:rFonts w:ascii="仿宋" w:hAnsi="仿宋" w:eastAsia="仿宋"/>
          <w:b/>
          <w:bCs/>
          <w:sz w:val="32"/>
          <w:szCs w:val="32"/>
          <w:highlight w:val="none"/>
        </w:rPr>
        <w:t>、开标时间及地址</w:t>
      </w:r>
      <w:bookmarkEnd w:id="20"/>
    </w:p>
    <w:p w14:paraId="11E9981E">
      <w:pPr>
        <w:spacing w:line="360" w:lineRule="auto"/>
        <w:ind w:firstLine="640" w:firstLineChars="200"/>
        <w:outlineLvl w:val="1"/>
        <w:rPr>
          <w:rFonts w:ascii="仿宋" w:hAnsi="仿宋" w:eastAsia="仿宋"/>
          <w:sz w:val="32"/>
          <w:szCs w:val="32"/>
          <w:highlight w:val="none"/>
        </w:rPr>
      </w:pPr>
      <w:r>
        <w:rPr>
          <w:rFonts w:ascii="仿宋" w:hAnsi="仿宋" w:eastAsia="仿宋"/>
          <w:sz w:val="32"/>
          <w:szCs w:val="32"/>
          <w:highlight w:val="none"/>
        </w:rPr>
        <w:t>开标时间：202</w:t>
      </w:r>
      <w:r>
        <w:rPr>
          <w:rFonts w:hint="eastAsia" w:ascii="仿宋" w:hAnsi="仿宋" w:eastAsia="仿宋"/>
          <w:sz w:val="32"/>
          <w:szCs w:val="32"/>
          <w:highlight w:val="none"/>
          <w:lang w:val="en-US" w:eastAsia="zh-CN"/>
        </w:rPr>
        <w:t>5</w:t>
      </w:r>
      <w:r>
        <w:rPr>
          <w:rFonts w:ascii="仿宋" w:hAnsi="仿宋" w:eastAsia="仿宋"/>
          <w:sz w:val="32"/>
          <w:szCs w:val="32"/>
          <w:highlight w:val="none"/>
        </w:rPr>
        <w:t>年</w:t>
      </w:r>
      <w:r>
        <w:rPr>
          <w:rFonts w:hint="eastAsia" w:ascii="仿宋" w:hAnsi="仿宋" w:eastAsia="仿宋"/>
          <w:sz w:val="32"/>
          <w:szCs w:val="32"/>
          <w:highlight w:val="none"/>
          <w:lang w:val="en-US" w:eastAsia="zh-CN"/>
        </w:rPr>
        <w:t>12</w:t>
      </w:r>
      <w:r>
        <w:rPr>
          <w:rFonts w:ascii="仿宋" w:hAnsi="仿宋" w:eastAsia="仿宋"/>
          <w:sz w:val="32"/>
          <w:szCs w:val="32"/>
          <w:highlight w:val="none"/>
        </w:rPr>
        <w:t>月</w:t>
      </w:r>
      <w:r>
        <w:rPr>
          <w:rFonts w:hint="eastAsia" w:ascii="仿宋" w:hAnsi="仿宋" w:eastAsia="仿宋"/>
          <w:sz w:val="32"/>
          <w:szCs w:val="32"/>
          <w:highlight w:val="none"/>
          <w:lang w:val="en-US" w:eastAsia="zh-CN"/>
        </w:rPr>
        <w:t>23</w:t>
      </w:r>
      <w:r>
        <w:rPr>
          <w:rFonts w:ascii="仿宋" w:hAnsi="仿宋" w:eastAsia="仿宋"/>
          <w:sz w:val="32"/>
          <w:szCs w:val="32"/>
          <w:highlight w:val="none"/>
        </w:rPr>
        <w:t>日（星期</w:t>
      </w:r>
      <w:r>
        <w:rPr>
          <w:rFonts w:hint="eastAsia" w:ascii="仿宋" w:hAnsi="仿宋" w:eastAsia="仿宋"/>
          <w:sz w:val="32"/>
          <w:szCs w:val="32"/>
          <w:highlight w:val="none"/>
          <w:lang w:val="en-US" w:eastAsia="zh-CN"/>
        </w:rPr>
        <w:t>二</w:t>
      </w:r>
      <w:r>
        <w:rPr>
          <w:rFonts w:ascii="仿宋" w:hAnsi="仿宋" w:eastAsia="仿宋"/>
          <w:sz w:val="32"/>
          <w:szCs w:val="32"/>
          <w:highlight w:val="none"/>
        </w:rPr>
        <w:t>）</w:t>
      </w:r>
      <w:r>
        <w:rPr>
          <w:rFonts w:hint="eastAsia" w:ascii="仿宋" w:hAnsi="仿宋" w:eastAsia="仿宋"/>
          <w:sz w:val="32"/>
          <w:szCs w:val="32"/>
          <w:highlight w:val="none"/>
        </w:rPr>
        <w:t>上午</w:t>
      </w:r>
      <w:r>
        <w:rPr>
          <w:rFonts w:hint="eastAsia" w:ascii="仿宋" w:hAnsi="仿宋" w:eastAsia="仿宋"/>
          <w:sz w:val="32"/>
          <w:szCs w:val="32"/>
          <w:highlight w:val="none"/>
          <w:lang w:val="en-US" w:eastAsia="zh-CN"/>
        </w:rPr>
        <w:t>10：00</w:t>
      </w:r>
      <w:r>
        <w:rPr>
          <w:rFonts w:ascii="仿宋" w:hAnsi="仿宋" w:eastAsia="仿宋"/>
          <w:sz w:val="32"/>
          <w:szCs w:val="32"/>
          <w:highlight w:val="none"/>
        </w:rPr>
        <w:t>。</w:t>
      </w:r>
    </w:p>
    <w:p w14:paraId="7A8BF23A">
      <w:pPr>
        <w:spacing w:line="360" w:lineRule="auto"/>
        <w:ind w:firstLine="640" w:firstLineChars="200"/>
        <w:outlineLvl w:val="1"/>
        <w:rPr>
          <w:rFonts w:hint="eastAsia" w:eastAsia="仿宋_GB2312"/>
          <w:sz w:val="32"/>
          <w:szCs w:val="32"/>
          <w:highlight w:val="none"/>
        </w:rPr>
      </w:pPr>
      <w:r>
        <w:rPr>
          <w:rFonts w:hint="eastAsia" w:eastAsia="仿宋_GB2312"/>
          <w:sz w:val="32"/>
          <w:szCs w:val="32"/>
          <w:highlight w:val="none"/>
        </w:rPr>
        <w:t>本项目</w:t>
      </w:r>
      <w:r>
        <w:rPr>
          <w:rFonts w:hint="eastAsia" w:eastAsia="仿宋_GB2312"/>
          <w:sz w:val="32"/>
          <w:szCs w:val="32"/>
          <w:highlight w:val="none"/>
          <w:lang w:eastAsia="zh-CN"/>
        </w:rPr>
        <w:t>响应人</w:t>
      </w:r>
      <w:r>
        <w:rPr>
          <w:rFonts w:hint="eastAsia" w:eastAsia="仿宋_GB2312"/>
          <w:sz w:val="32"/>
          <w:szCs w:val="32"/>
          <w:highlight w:val="none"/>
        </w:rPr>
        <w:t>可选择现场递交</w:t>
      </w:r>
      <w:r>
        <w:rPr>
          <w:rFonts w:hint="eastAsia" w:eastAsia="仿宋_GB2312"/>
          <w:sz w:val="32"/>
          <w:szCs w:val="32"/>
          <w:highlight w:val="none"/>
          <w:lang w:eastAsia="zh-CN"/>
        </w:rPr>
        <w:t>响应文件</w:t>
      </w:r>
      <w:r>
        <w:rPr>
          <w:rFonts w:hint="eastAsia" w:eastAsia="仿宋_GB2312"/>
          <w:sz w:val="32"/>
          <w:szCs w:val="32"/>
          <w:highlight w:val="none"/>
        </w:rPr>
        <w:t>或邮寄</w:t>
      </w:r>
      <w:r>
        <w:rPr>
          <w:rFonts w:hint="eastAsia" w:eastAsia="仿宋_GB2312"/>
          <w:sz w:val="32"/>
          <w:szCs w:val="32"/>
          <w:highlight w:val="none"/>
          <w:lang w:eastAsia="zh-CN"/>
        </w:rPr>
        <w:t>响应文件</w:t>
      </w:r>
      <w:r>
        <w:rPr>
          <w:rFonts w:hint="eastAsia" w:eastAsia="仿宋_GB2312"/>
          <w:sz w:val="32"/>
          <w:szCs w:val="32"/>
          <w:highlight w:val="none"/>
        </w:rPr>
        <w:t>，其中：</w:t>
      </w:r>
    </w:p>
    <w:p w14:paraId="33857C19">
      <w:pPr>
        <w:spacing w:line="360" w:lineRule="auto"/>
        <w:ind w:firstLine="640" w:firstLineChars="200"/>
        <w:outlineLvl w:val="1"/>
        <w:rPr>
          <w:rFonts w:hint="eastAsia"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现场递交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须委派法定代表人或授权委托人</w:t>
      </w:r>
      <w:r>
        <w:rPr>
          <w:rFonts w:hint="eastAsia" w:ascii="仿宋" w:hAnsi="仿宋" w:eastAsia="仿宋"/>
          <w:sz w:val="32"/>
          <w:szCs w:val="32"/>
          <w:highlight w:val="none"/>
          <w:lang w:val="en-US" w:eastAsia="zh-CN"/>
        </w:rPr>
        <w:t>按时</w:t>
      </w:r>
      <w:r>
        <w:rPr>
          <w:rFonts w:hint="eastAsia" w:ascii="仿宋" w:hAnsi="仿宋" w:eastAsia="仿宋"/>
          <w:sz w:val="32"/>
          <w:szCs w:val="32"/>
          <w:highlight w:val="none"/>
        </w:rPr>
        <w:t>到开标地址提交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并参加开标会议</w:t>
      </w:r>
      <w:r>
        <w:rPr>
          <w:rFonts w:hint="eastAsia" w:ascii="仿宋" w:hAnsi="仿宋" w:eastAsia="仿宋"/>
          <w:sz w:val="32"/>
          <w:szCs w:val="32"/>
          <w:highlight w:val="none"/>
          <w:lang w:eastAsia="zh-CN"/>
        </w:rPr>
        <w:t>，</w:t>
      </w:r>
      <w:r>
        <w:rPr>
          <w:rFonts w:hint="eastAsia" w:ascii="仿宋" w:hAnsi="仿宋" w:eastAsia="仿宋"/>
          <w:sz w:val="32"/>
          <w:szCs w:val="32"/>
          <w:highlight w:val="none"/>
        </w:rPr>
        <w:t>开标时间后</w:t>
      </w:r>
      <w:r>
        <w:rPr>
          <w:rFonts w:hint="eastAsia" w:ascii="仿宋" w:hAnsi="仿宋" w:eastAsia="仿宋"/>
          <w:sz w:val="32"/>
          <w:szCs w:val="32"/>
          <w:highlight w:val="none"/>
          <w:lang w:val="en-US" w:eastAsia="zh-CN"/>
        </w:rPr>
        <w:t>到达</w:t>
      </w:r>
      <w:r>
        <w:rPr>
          <w:rFonts w:hint="eastAsia" w:ascii="仿宋" w:hAnsi="仿宋" w:eastAsia="仿宋"/>
          <w:sz w:val="32"/>
          <w:szCs w:val="32"/>
          <w:highlight w:val="none"/>
        </w:rPr>
        <w:t>的</w:t>
      </w:r>
      <w:r>
        <w:rPr>
          <w:rFonts w:hint="eastAsia" w:ascii="仿宋" w:hAnsi="仿宋" w:eastAsia="仿宋"/>
          <w:sz w:val="32"/>
          <w:szCs w:val="32"/>
          <w:highlight w:val="none"/>
          <w:lang w:val="en-US" w:eastAsia="zh-CN"/>
        </w:rPr>
        <w:t>拒收响应文件</w:t>
      </w:r>
      <w:r>
        <w:rPr>
          <w:rFonts w:hint="eastAsia" w:ascii="仿宋" w:hAnsi="仿宋" w:eastAsia="仿宋"/>
          <w:sz w:val="32"/>
          <w:szCs w:val="32"/>
          <w:highlight w:val="none"/>
        </w:rPr>
        <w:t>。</w:t>
      </w:r>
    </w:p>
    <w:p w14:paraId="1A1C7638">
      <w:pPr>
        <w:spacing w:line="360" w:lineRule="auto"/>
        <w:ind w:firstLine="640" w:firstLineChars="200"/>
        <w:outlineLvl w:val="1"/>
        <w:rPr>
          <w:rFonts w:hint="eastAsia" w:ascii="仿宋" w:hAnsi="仿宋" w:eastAsia="仿宋"/>
          <w:sz w:val="32"/>
          <w:szCs w:val="32"/>
          <w:highlight w:val="none"/>
          <w:lang w:val="en-US" w:eastAsia="zh-CN"/>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提交</w:t>
      </w:r>
      <w:r>
        <w:rPr>
          <w:rFonts w:hint="eastAsia" w:ascii="仿宋" w:hAnsi="仿宋" w:eastAsia="仿宋"/>
          <w:sz w:val="32"/>
          <w:szCs w:val="32"/>
          <w:highlight w:val="none"/>
          <w:lang w:eastAsia="zh-CN"/>
        </w:rPr>
        <w:t>响应文件</w:t>
      </w:r>
      <w:r>
        <w:rPr>
          <w:rFonts w:hint="eastAsia" w:ascii="仿宋" w:hAnsi="仿宋" w:eastAsia="仿宋"/>
          <w:sz w:val="32"/>
          <w:szCs w:val="32"/>
          <w:highlight w:val="none"/>
        </w:rPr>
        <w:t>地址：东莞市麻涌镇大步村海心沙岛</w:t>
      </w:r>
      <w:r>
        <w:rPr>
          <w:rFonts w:hint="eastAsia" w:ascii="仿宋" w:hAnsi="仿宋" w:eastAsia="仿宋"/>
          <w:sz w:val="32"/>
          <w:szCs w:val="32"/>
          <w:highlight w:val="none"/>
          <w:lang w:val="en-US" w:eastAsia="zh-CN"/>
        </w:rPr>
        <w:t>东莞市新东元环保投资有限公司二楼</w:t>
      </w:r>
      <w:r>
        <w:rPr>
          <w:rFonts w:hint="eastAsia" w:ascii="仿宋" w:hAnsi="仿宋" w:eastAsia="仿宋"/>
          <w:sz w:val="32"/>
          <w:szCs w:val="32"/>
          <w:highlight w:val="none"/>
        </w:rPr>
        <w:t>会议室（</w:t>
      </w:r>
      <w:r>
        <w:rPr>
          <w:rFonts w:hint="eastAsia" w:ascii="仿宋" w:hAnsi="仿宋" w:eastAsia="仿宋"/>
          <w:sz w:val="32"/>
          <w:szCs w:val="32"/>
          <w:highlight w:val="none"/>
          <w:lang w:val="en-US" w:eastAsia="zh-CN"/>
        </w:rPr>
        <w:t>路线指导图如下</w:t>
      </w:r>
      <w:r>
        <w:rPr>
          <w:rFonts w:hint="eastAsia" w:ascii="仿宋" w:hAnsi="仿宋" w:eastAsia="仿宋"/>
          <w:sz w:val="32"/>
          <w:szCs w:val="32"/>
          <w:highlight w:val="none"/>
        </w:rPr>
        <w:t>）</w:t>
      </w: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逾期无效。</w:t>
      </w:r>
    </w:p>
    <w:p w14:paraId="14B8664F">
      <w:pPr>
        <w:pStyle w:val="7"/>
        <w:rPr>
          <w:rFonts w:hint="eastAsia" w:eastAsia="宋体"/>
          <w:highlight w:val="none"/>
          <w:lang w:eastAsia="zh-CN"/>
        </w:rPr>
      </w:pPr>
      <w:r>
        <w:rPr>
          <w:rFonts w:hint="eastAsia" w:eastAsia="宋体"/>
          <w:highlight w:val="none"/>
          <w:lang w:eastAsia="zh-CN"/>
        </w:rPr>
        <w:drawing>
          <wp:inline distT="0" distB="0" distL="114300" distR="114300">
            <wp:extent cx="5261610" cy="3798570"/>
            <wp:effectExtent l="0" t="0" r="5080" b="1270"/>
            <wp:docPr id="13" name="图片 13" descr="d51ca4f950ea6da1bee83e43c380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51ca4f950ea6da1bee83e43c380412"/>
                    <pic:cNvPicPr>
                      <a:picLocks noChangeAspect="1"/>
                    </pic:cNvPicPr>
                  </pic:nvPicPr>
                  <pic:blipFill>
                    <a:blip r:embed="rId10"/>
                    <a:stretch>
                      <a:fillRect/>
                    </a:stretch>
                  </pic:blipFill>
                  <pic:spPr>
                    <a:xfrm>
                      <a:off x="0" y="0"/>
                      <a:ext cx="5261610" cy="3798570"/>
                    </a:xfrm>
                    <a:prstGeom prst="rect">
                      <a:avLst/>
                    </a:prstGeom>
                  </pic:spPr>
                </pic:pic>
              </a:graphicData>
            </a:graphic>
          </wp:inline>
        </w:drawing>
      </w:r>
    </w:p>
    <w:p w14:paraId="662EBC88">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lang w:eastAsia="zh-CN"/>
        </w:rPr>
        <w:t>（</w:t>
      </w:r>
      <w:r>
        <w:rPr>
          <w:rFonts w:hint="eastAsia" w:ascii="仿宋" w:hAnsi="仿宋" w:eastAsia="仿宋"/>
          <w:sz w:val="32"/>
          <w:szCs w:val="32"/>
          <w:highlight w:val="none"/>
          <w:lang w:val="en-US" w:eastAsia="zh-CN"/>
        </w:rPr>
        <w:t>2）邮寄</w:t>
      </w:r>
      <w:r>
        <w:rPr>
          <w:rFonts w:hint="eastAsia" w:ascii="仿宋" w:hAnsi="仿宋" w:eastAsia="仿宋"/>
          <w:sz w:val="32"/>
          <w:szCs w:val="32"/>
          <w:highlight w:val="none"/>
        </w:rPr>
        <w:t>递交</w:t>
      </w:r>
      <w:r>
        <w:rPr>
          <w:rFonts w:hint="eastAsia" w:ascii="仿宋" w:hAnsi="仿宋" w:eastAsia="仿宋"/>
          <w:sz w:val="32"/>
          <w:szCs w:val="32"/>
          <w:highlight w:val="none"/>
          <w:lang w:eastAsia="zh-CN"/>
        </w:rPr>
        <w:t>响应文件：响应人</w:t>
      </w:r>
      <w:r>
        <w:rPr>
          <w:rFonts w:hint="eastAsia" w:ascii="仿宋" w:hAnsi="仿宋" w:eastAsia="仿宋"/>
          <w:sz w:val="32"/>
          <w:szCs w:val="32"/>
          <w:highlight w:val="none"/>
        </w:rPr>
        <w:t>必须确保响应文件密封完好，在开标截止时间前一日送达采购人处，须使用顺丰速运提前寄送（运费自理，采购人拒收到付件），因邮寄造成响应文件破损无效或文件丢失的责任由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自负，因快递派件人员无工作证等原因（如顺丰即日达）造成快递派件问题的责任由</w:t>
      </w: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自负，开标时间后送达的响应文件无效。</w:t>
      </w:r>
    </w:p>
    <w:p w14:paraId="3239789F">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收件地址：东莞市麻涌镇大步村海心沙岛东莞市新东元环保投资有限公司二楼</w:t>
      </w:r>
    </w:p>
    <w:p w14:paraId="4E765F37">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联系人：徐小姐</w:t>
      </w:r>
    </w:p>
    <w:p w14:paraId="62EBBF42">
      <w:pPr>
        <w:spacing w:line="360" w:lineRule="auto"/>
        <w:ind w:firstLine="640" w:firstLineChars="200"/>
        <w:outlineLvl w:val="1"/>
        <w:rPr>
          <w:rFonts w:ascii="仿宋" w:hAnsi="仿宋" w:eastAsia="仿宋"/>
          <w:sz w:val="32"/>
          <w:szCs w:val="32"/>
          <w:highlight w:val="none"/>
        </w:rPr>
      </w:pPr>
      <w:r>
        <w:rPr>
          <w:rFonts w:hint="eastAsia" w:ascii="仿宋" w:hAnsi="仿宋" w:eastAsia="仿宋"/>
          <w:sz w:val="32"/>
          <w:szCs w:val="32"/>
          <w:highlight w:val="none"/>
        </w:rPr>
        <w:t>联系电话：0769-</w:t>
      </w:r>
      <w:r>
        <w:rPr>
          <w:highlight w:val="none"/>
        </w:rPr>
        <w:t xml:space="preserve"> </w:t>
      </w:r>
      <w:r>
        <w:rPr>
          <w:rFonts w:ascii="仿宋" w:hAnsi="仿宋" w:eastAsia="仿宋"/>
          <w:sz w:val="32"/>
          <w:szCs w:val="32"/>
          <w:highlight w:val="none"/>
        </w:rPr>
        <w:t>81219261</w:t>
      </w:r>
    </w:p>
    <w:p w14:paraId="6B11EE35">
      <w:pPr>
        <w:spacing w:line="360" w:lineRule="auto"/>
        <w:ind w:firstLine="422" w:firstLineChars="200"/>
        <w:outlineLvl w:val="1"/>
        <w:rPr>
          <w:rFonts w:ascii="仿宋" w:hAnsi="仿宋" w:eastAsia="仿宋"/>
          <w:b/>
          <w:bCs/>
          <w:sz w:val="32"/>
          <w:szCs w:val="32"/>
          <w:highlight w:val="none"/>
        </w:rPr>
      </w:pPr>
      <w:r>
        <w:rPr>
          <w:rFonts w:hint="eastAsia"/>
          <w:b/>
          <w:color w:val="000000"/>
          <w:highlight w:val="none"/>
        </w:rPr>
        <w:t>★</w:t>
      </w:r>
      <w:r>
        <w:rPr>
          <w:rFonts w:ascii="仿宋" w:hAnsi="仿宋" w:eastAsia="仿宋"/>
          <w:b/>
          <w:bCs/>
          <w:sz w:val="32"/>
          <w:szCs w:val="32"/>
          <w:highlight w:val="none"/>
        </w:rPr>
        <w:t>十</w:t>
      </w:r>
      <w:r>
        <w:rPr>
          <w:rFonts w:hint="eastAsia" w:ascii="仿宋" w:hAnsi="仿宋" w:eastAsia="仿宋"/>
          <w:b/>
          <w:bCs/>
          <w:sz w:val="32"/>
          <w:szCs w:val="32"/>
          <w:highlight w:val="none"/>
        </w:rPr>
        <w:t>四</w:t>
      </w:r>
      <w:r>
        <w:rPr>
          <w:rFonts w:ascii="仿宋" w:hAnsi="仿宋" w:eastAsia="仿宋"/>
          <w:b/>
          <w:bCs/>
          <w:sz w:val="32"/>
          <w:szCs w:val="32"/>
          <w:highlight w:val="none"/>
        </w:rPr>
        <w:t>、注意事项</w:t>
      </w:r>
    </w:p>
    <w:p w14:paraId="6D743CE3">
      <w:pPr>
        <w:spacing w:line="360" w:lineRule="auto"/>
        <w:ind w:firstLine="640" w:firstLineChars="200"/>
        <w:outlineLvl w:val="1"/>
        <w:rPr>
          <w:rFonts w:ascii="仿宋" w:hAnsi="仿宋" w:eastAsia="仿宋" w:cs="仿宋"/>
          <w:color w:val="000000"/>
          <w:sz w:val="32"/>
          <w:szCs w:val="32"/>
          <w:highlight w:val="none"/>
        </w:rPr>
      </w:pPr>
      <w:bookmarkStart w:id="21" w:name="_Hlk517879660"/>
      <w:r>
        <w:rPr>
          <w:rFonts w:hint="eastAsia" w:ascii="仿宋" w:hAnsi="仿宋" w:eastAsia="仿宋" w:cs="仿宋"/>
          <w:color w:val="000000"/>
          <w:sz w:val="32"/>
          <w:szCs w:val="32"/>
          <w:highlight w:val="none"/>
        </w:rPr>
        <w:t>1、若</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未按规定时间递交响应文件，视为放弃报价资格。</w:t>
      </w:r>
    </w:p>
    <w:p w14:paraId="37EA9368">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如未按要求交纳保证金，则视为放弃报价/成交资格。</w:t>
      </w:r>
    </w:p>
    <w:p w14:paraId="204322AB">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3、采购人向</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提供的有关资料和数据，是采购人现有的能使</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利用的资料，采购人对</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由此而做出的推论、理解和结论概不负责。</w:t>
      </w:r>
    </w:p>
    <w:p w14:paraId="73FAC526">
      <w:pPr>
        <w:spacing w:line="360" w:lineRule="auto"/>
        <w:ind w:firstLine="640" w:firstLineChars="200"/>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4、本项目执行过程中将遵循国家、省、市有关法律、法规、标准、技术规范和规范性文件的最新规定。</w:t>
      </w:r>
    </w:p>
    <w:p w14:paraId="2D5EC5F5">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5、本项目仅可提交一个报价方案，提交两个或以上报价方案的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p>
    <w:p w14:paraId="4CDE610E">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6、本项目不接受</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其他附加条件。</w:t>
      </w:r>
    </w:p>
    <w:p w14:paraId="6773C560">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7、有下列情形之一的，报价保证金将被没收，并纳入采购人供应商黑名单：</w:t>
      </w:r>
    </w:p>
    <w:p w14:paraId="5673FE1B">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1）中标后无正当理由放弃中标或不与采购人签订合同。</w:t>
      </w:r>
    </w:p>
    <w:p w14:paraId="554E464D">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2）成交人将本项目转让给他人，或者在</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中未说明，且未经采购人同意，将中标项目分包给他人。</w:t>
      </w:r>
    </w:p>
    <w:p w14:paraId="0D8BA9E6">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提供虚假</w:t>
      </w:r>
      <w:r>
        <w:rPr>
          <w:rFonts w:hint="eastAsia" w:ascii="仿宋" w:hAnsi="仿宋" w:eastAsia="仿宋" w:cs="仿宋"/>
          <w:color w:val="000000"/>
          <w:sz w:val="32"/>
          <w:szCs w:val="32"/>
          <w:highlight w:val="none"/>
          <w:lang w:eastAsia="zh-CN"/>
        </w:rPr>
        <w:t>响应文件</w:t>
      </w:r>
      <w:r>
        <w:rPr>
          <w:rFonts w:hint="eastAsia" w:ascii="仿宋" w:hAnsi="仿宋" w:eastAsia="仿宋" w:cs="仿宋"/>
          <w:color w:val="000000"/>
          <w:sz w:val="32"/>
          <w:szCs w:val="32"/>
          <w:highlight w:val="none"/>
        </w:rPr>
        <w:t>或虚假补充文件。</w:t>
      </w:r>
    </w:p>
    <w:p w14:paraId="16EC4CF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8、有下列情形之一的，视为</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串通询价，</w:t>
      </w:r>
      <w:r>
        <w:rPr>
          <w:rFonts w:hint="eastAsia" w:eastAsia="仿宋_GB2312"/>
          <w:color w:val="000000"/>
          <w:sz w:val="32"/>
          <w:szCs w:val="32"/>
        </w:rPr>
        <w:t>其</w:t>
      </w:r>
      <w:r>
        <w:rPr>
          <w:rFonts w:hint="eastAsia" w:eastAsia="仿宋_GB2312"/>
          <w:color w:val="000000"/>
          <w:sz w:val="32"/>
          <w:szCs w:val="32"/>
          <w:lang w:val="en-US" w:eastAsia="zh-CN"/>
        </w:rPr>
        <w:t>响应</w:t>
      </w:r>
      <w:r>
        <w:rPr>
          <w:rFonts w:hint="eastAsia" w:eastAsia="仿宋_GB2312"/>
          <w:color w:val="000000"/>
          <w:sz w:val="32"/>
          <w:szCs w:val="32"/>
        </w:rPr>
        <w:t>无效</w:t>
      </w:r>
      <w:r>
        <w:rPr>
          <w:rFonts w:hint="eastAsia" w:eastAsia="仿宋_GB2312"/>
          <w:color w:val="000000"/>
          <w:sz w:val="32"/>
          <w:szCs w:val="32"/>
          <w:lang w:eastAsia="zh-CN"/>
        </w:rPr>
        <w:t>，</w:t>
      </w:r>
      <w:r>
        <w:rPr>
          <w:rFonts w:hint="eastAsia" w:ascii="仿宋" w:hAnsi="仿宋" w:eastAsia="仿宋" w:cs="仿宋"/>
          <w:color w:val="000000"/>
          <w:sz w:val="32"/>
          <w:szCs w:val="32"/>
          <w:highlight w:val="none"/>
          <w:lang w:val="en-US" w:eastAsia="zh-CN"/>
        </w:rPr>
        <w:t>并纳入采购人供应商黑名单</w:t>
      </w:r>
      <w:r>
        <w:rPr>
          <w:rFonts w:hint="eastAsia" w:ascii="仿宋" w:hAnsi="仿宋" w:eastAsia="仿宋" w:cs="仿宋"/>
          <w:color w:val="000000"/>
          <w:sz w:val="32"/>
          <w:szCs w:val="32"/>
          <w:highlight w:val="none"/>
        </w:rPr>
        <w:t>：</w:t>
      </w:r>
    </w:p>
    <w:p w14:paraId="5C99AB23">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（1）不同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的响应文件由同一单位或者个人编制；</w:t>
      </w:r>
    </w:p>
    <w:p w14:paraId="0F5BFD14">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（2）不同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委托同一单位或者个人办理响应事宜；</w:t>
      </w:r>
    </w:p>
    <w:p w14:paraId="60869D78">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（3）不同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的响应文件载明的项目管理成员或者联系人员为同一人；</w:t>
      </w:r>
    </w:p>
    <w:p w14:paraId="0A655E6A">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（4）不同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的响应文件异常一致或者响应报价呈规律性差异；</w:t>
      </w:r>
    </w:p>
    <w:p w14:paraId="7EC33A51">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（5）不同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的响应文件相互混装；</w:t>
      </w:r>
    </w:p>
    <w:p w14:paraId="23B9D1BF">
      <w:pPr>
        <w:keepNext w:val="0"/>
        <w:keepLines w:val="0"/>
        <w:pageBreakBefore w:val="0"/>
        <w:widowControl w:val="0"/>
        <w:kinsoku/>
        <w:wordWrap/>
        <w:overflowPunct/>
        <w:topLinePunct w:val="0"/>
        <w:autoSpaceDE/>
        <w:autoSpaceDN/>
        <w:bidi w:val="0"/>
        <w:adjustRightInd/>
        <w:snapToGrid w:val="0"/>
        <w:spacing w:line="324" w:lineRule="auto"/>
        <w:ind w:firstLine="640" w:firstLineChars="200"/>
        <w:textAlignment w:val="auto"/>
        <w:outlineLvl w:val="1"/>
        <w:rPr>
          <w:rFonts w:ascii="仿宋" w:hAnsi="仿宋" w:eastAsia="仿宋" w:cs="仿宋"/>
          <w:color w:val="000000"/>
          <w:sz w:val="32"/>
          <w:szCs w:val="32"/>
          <w:highlight w:val="none"/>
        </w:rPr>
      </w:pPr>
      <w:r>
        <w:rPr>
          <w:rFonts w:hint="eastAsia" w:ascii="仿宋" w:hAnsi="仿宋" w:eastAsia="仿宋" w:cs="仿宋"/>
          <w:color w:val="000000"/>
          <w:sz w:val="32"/>
          <w:szCs w:val="32"/>
          <w:highlight w:val="none"/>
        </w:rPr>
        <w:t>（6）不同</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的响应保证金从同一单位或者个人的账户转出。</w:t>
      </w:r>
    </w:p>
    <w:p w14:paraId="14488A6B">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textAlignment w:val="auto"/>
        <w:outlineLvl w:val="1"/>
        <w:rPr>
          <w:rFonts w:ascii="仿宋" w:hAnsi="仿宋" w:eastAsia="仿宋"/>
          <w:sz w:val="32"/>
          <w:szCs w:val="32"/>
          <w:highlight w:val="none"/>
        </w:rPr>
      </w:pPr>
      <w:r>
        <w:rPr>
          <w:rFonts w:hint="eastAsia" w:ascii="仿宋" w:hAnsi="仿宋" w:eastAsia="仿宋" w:cs="仿宋"/>
          <w:color w:val="000000"/>
          <w:sz w:val="32"/>
          <w:szCs w:val="32"/>
          <w:highlight w:val="none"/>
        </w:rPr>
        <w:t>9、已列入采购人及上级单位部门黑名单的</w:t>
      </w:r>
      <w:r>
        <w:rPr>
          <w:rFonts w:hint="eastAsia" w:ascii="仿宋" w:hAnsi="仿宋" w:eastAsia="仿宋" w:cs="仿宋"/>
          <w:color w:val="000000"/>
          <w:sz w:val="32"/>
          <w:szCs w:val="32"/>
          <w:highlight w:val="none"/>
          <w:lang w:eastAsia="zh-CN"/>
        </w:rPr>
        <w:t>响应人</w:t>
      </w:r>
      <w:r>
        <w:rPr>
          <w:rFonts w:hint="eastAsia" w:ascii="仿宋" w:hAnsi="仿宋" w:eastAsia="仿宋" w:cs="仿宋"/>
          <w:color w:val="000000"/>
          <w:sz w:val="32"/>
          <w:szCs w:val="32"/>
          <w:highlight w:val="none"/>
        </w:rPr>
        <w:t>视为无效报价。</w:t>
      </w:r>
      <w:bookmarkEnd w:id="21"/>
    </w:p>
    <w:p w14:paraId="23F9665C">
      <w:pPr>
        <w:keepNext w:val="0"/>
        <w:keepLines w:val="0"/>
        <w:pageBreakBefore w:val="0"/>
        <w:widowControl w:val="0"/>
        <w:kinsoku/>
        <w:wordWrap/>
        <w:overflowPunct/>
        <w:topLinePunct w:val="0"/>
        <w:autoSpaceDE/>
        <w:autoSpaceDN/>
        <w:bidi w:val="0"/>
        <w:adjustRightInd/>
        <w:snapToGrid w:val="0"/>
        <w:spacing w:before="156" w:line="324" w:lineRule="auto"/>
        <w:ind w:firstLine="640" w:firstLineChars="200"/>
        <w:jc w:val="right"/>
        <w:textAlignment w:val="auto"/>
        <w:rPr>
          <w:rFonts w:eastAsia="仿宋_GB2312"/>
          <w:sz w:val="32"/>
          <w:szCs w:val="32"/>
          <w:highlight w:val="none"/>
        </w:rPr>
      </w:pPr>
      <w:r>
        <w:rPr>
          <w:rFonts w:hint="eastAsia" w:eastAsia="仿宋_GB2312"/>
          <w:sz w:val="32"/>
          <w:szCs w:val="32"/>
          <w:highlight w:val="none"/>
        </w:rPr>
        <w:t>东莞市新东元环保投资有限公司</w:t>
      </w:r>
    </w:p>
    <w:p w14:paraId="4F32A490">
      <w:pPr>
        <w:keepNext w:val="0"/>
        <w:keepLines w:val="0"/>
        <w:pageBreakBefore w:val="0"/>
        <w:widowControl w:val="0"/>
        <w:kinsoku/>
        <w:wordWrap/>
        <w:overflowPunct/>
        <w:topLinePunct w:val="0"/>
        <w:autoSpaceDE/>
        <w:autoSpaceDN/>
        <w:bidi w:val="0"/>
        <w:adjustRightInd/>
        <w:snapToGrid w:val="0"/>
        <w:spacing w:before="156" w:line="324" w:lineRule="auto"/>
        <w:ind w:right="84" w:firstLine="4800" w:firstLineChars="1500"/>
        <w:textAlignment w:val="auto"/>
        <w:rPr>
          <w:rFonts w:eastAsia="仿宋_GB2312"/>
          <w:sz w:val="32"/>
          <w:szCs w:val="32"/>
          <w:highlight w:val="none"/>
        </w:rPr>
      </w:pPr>
      <w:r>
        <w:rPr>
          <w:rFonts w:eastAsia="仿宋_GB2312"/>
          <w:sz w:val="32"/>
          <w:szCs w:val="32"/>
          <w:highlight w:val="none"/>
        </w:rPr>
        <w:t>20</w:t>
      </w:r>
      <w:r>
        <w:rPr>
          <w:rFonts w:hint="eastAsia" w:eastAsia="仿宋_GB2312"/>
          <w:sz w:val="32"/>
          <w:szCs w:val="32"/>
          <w:highlight w:val="none"/>
        </w:rPr>
        <w:t>2</w:t>
      </w:r>
      <w:r>
        <w:rPr>
          <w:rFonts w:hint="eastAsia" w:eastAsia="仿宋_GB2312"/>
          <w:sz w:val="32"/>
          <w:szCs w:val="32"/>
          <w:highlight w:val="none"/>
          <w:lang w:val="en-US" w:eastAsia="zh-CN"/>
        </w:rPr>
        <w:t>5</w:t>
      </w:r>
      <w:r>
        <w:rPr>
          <w:rFonts w:hint="eastAsia" w:eastAsia="仿宋_GB2312"/>
          <w:sz w:val="32"/>
          <w:szCs w:val="32"/>
          <w:highlight w:val="none"/>
        </w:rPr>
        <w:t>年</w:t>
      </w:r>
      <w:r>
        <w:rPr>
          <w:rFonts w:hint="eastAsia" w:eastAsia="仿宋_GB2312"/>
          <w:sz w:val="32"/>
          <w:szCs w:val="32"/>
          <w:highlight w:val="none"/>
          <w:lang w:val="en-US" w:eastAsia="zh-CN"/>
        </w:rPr>
        <w:t xml:space="preserve"> 12 </w:t>
      </w:r>
      <w:r>
        <w:rPr>
          <w:rFonts w:hint="eastAsia" w:eastAsia="仿宋_GB2312"/>
          <w:sz w:val="32"/>
          <w:szCs w:val="32"/>
          <w:highlight w:val="none"/>
        </w:rPr>
        <w:t>月</w:t>
      </w:r>
      <w:r>
        <w:rPr>
          <w:rFonts w:hint="eastAsia" w:eastAsia="仿宋_GB2312"/>
          <w:sz w:val="32"/>
          <w:szCs w:val="32"/>
          <w:highlight w:val="none"/>
          <w:lang w:val="en-US" w:eastAsia="zh-CN"/>
        </w:rPr>
        <w:t xml:space="preserve">15 </w:t>
      </w:r>
      <w:r>
        <w:rPr>
          <w:rFonts w:hint="eastAsia" w:eastAsia="仿宋_GB2312"/>
          <w:sz w:val="32"/>
          <w:szCs w:val="32"/>
          <w:highlight w:val="none"/>
        </w:rPr>
        <w:t>日</w:t>
      </w:r>
    </w:p>
    <w:p w14:paraId="128905B8">
      <w:pPr>
        <w:widowControl/>
        <w:spacing w:before="156" w:line="600" w:lineRule="exact"/>
        <w:ind w:firstLine="640" w:firstLineChars="200"/>
        <w:rPr>
          <w:rFonts w:eastAsia="仿宋_GB2312"/>
          <w:color w:val="000000"/>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276" w:left="1800" w:header="851" w:footer="524" w:gutter="0"/>
          <w:cols w:space="720" w:num="1"/>
          <w:docGrid w:type="lines" w:linePitch="312" w:charSpace="0"/>
        </w:sectPr>
      </w:pPr>
    </w:p>
    <w:p w14:paraId="3670B3BF">
      <w:pPr>
        <w:pStyle w:val="29"/>
        <w:numPr>
          <w:ilvl w:val="0"/>
          <w:numId w:val="2"/>
        </w:numPr>
        <w:spacing w:line="360" w:lineRule="auto"/>
        <w:ind w:firstLineChars="0"/>
        <w:outlineLvl w:val="1"/>
        <w:rPr>
          <w:rFonts w:ascii="仿宋" w:hAnsi="仿宋" w:eastAsia="仿宋"/>
          <w:b/>
          <w:bCs/>
          <w:sz w:val="28"/>
          <w:szCs w:val="44"/>
          <w:highlight w:val="none"/>
        </w:rPr>
      </w:pPr>
      <w:bookmarkStart w:id="22" w:name="_Toc7977_WPSOffice_Level1"/>
      <w:bookmarkStart w:id="23" w:name="_Hlk524442005"/>
      <w:r>
        <w:rPr>
          <w:rFonts w:hint="eastAsia" w:ascii="仿宋" w:hAnsi="仿宋" w:eastAsia="仿宋"/>
          <w:b/>
          <w:bCs/>
          <w:sz w:val="28"/>
          <w:szCs w:val="44"/>
          <w:highlight w:val="none"/>
        </w:rPr>
        <w:t>密封文件袋封面</w:t>
      </w:r>
      <w:bookmarkEnd w:id="22"/>
    </w:p>
    <w:p w14:paraId="1CF07756">
      <w:pPr>
        <w:pStyle w:val="29"/>
        <w:spacing w:line="360" w:lineRule="auto"/>
        <w:ind w:firstLine="0" w:firstLineChars="0"/>
        <w:outlineLvl w:val="1"/>
        <w:rPr>
          <w:rFonts w:ascii="仿宋" w:hAnsi="仿宋" w:eastAsia="仿宋"/>
          <w:b/>
          <w:bCs/>
          <w:sz w:val="28"/>
          <w:szCs w:val="44"/>
          <w:highlight w:val="none"/>
        </w:rPr>
      </w:pPr>
    </w:p>
    <w:p w14:paraId="0E62EF53">
      <w:pPr>
        <w:rPr>
          <w:rFonts w:ascii="仿宋" w:hAnsi="仿宋" w:eastAsia="仿宋"/>
          <w:b/>
          <w:bCs/>
          <w:sz w:val="52"/>
          <w:szCs w:val="52"/>
          <w:highlight w:val="none"/>
        </w:rPr>
      </w:pPr>
      <w:bookmarkStart w:id="24" w:name="_Toc406_WPSOffice_Level2"/>
    </w:p>
    <w:bookmarkEnd w:id="24"/>
    <w:p w14:paraId="098BEC49">
      <w:pPr>
        <w:jc w:val="center"/>
        <w:rPr>
          <w:rFonts w:hint="default" w:ascii="仿宋" w:hAnsi="仿宋" w:eastAsia="仿宋"/>
          <w:b/>
          <w:bCs/>
          <w:sz w:val="52"/>
          <w:szCs w:val="52"/>
          <w:highlight w:val="none"/>
          <w:lang w:val="en-US" w:eastAsia="zh-CN"/>
        </w:rPr>
      </w:pPr>
      <w:bookmarkStart w:id="25" w:name="_Toc21841_WPSOffice_Level2"/>
      <w:r>
        <w:rPr>
          <w:rFonts w:hint="eastAsia" w:ascii="仿宋" w:hAnsi="仿宋" w:eastAsia="仿宋"/>
          <w:b/>
          <w:bCs/>
          <w:sz w:val="52"/>
          <w:szCs w:val="52"/>
          <w:highlight w:val="none"/>
          <w:lang w:eastAsia="zh-CN"/>
        </w:rPr>
        <w:t>东莞市海心沙资源综合利用中心环保热电厂2026年度氨水及水处理药剂采购项目</w:t>
      </w:r>
      <w:r>
        <w:rPr>
          <w:rFonts w:hint="eastAsia" w:ascii="仿宋" w:hAnsi="仿宋" w:eastAsia="仿宋"/>
          <w:b/>
          <w:bCs/>
          <w:sz w:val="52"/>
          <w:szCs w:val="52"/>
          <w:highlight w:val="none"/>
          <w:lang w:val="en-US" w:eastAsia="zh-CN"/>
        </w:rPr>
        <w:t>__包</w:t>
      </w:r>
    </w:p>
    <w:bookmarkEnd w:id="25"/>
    <w:p w14:paraId="150B2C2B">
      <w:pPr>
        <w:jc w:val="center"/>
        <w:rPr>
          <w:rFonts w:hint="eastAsia" w:ascii="仿宋" w:hAnsi="仿宋" w:eastAsia="仿宋"/>
          <w:b/>
          <w:bCs/>
          <w:sz w:val="52"/>
          <w:szCs w:val="52"/>
          <w:highlight w:val="none"/>
          <w:lang w:eastAsia="zh-CN"/>
        </w:rPr>
      </w:pPr>
      <w:r>
        <w:rPr>
          <w:rFonts w:hint="eastAsia" w:ascii="仿宋" w:hAnsi="仿宋" w:eastAsia="仿宋"/>
          <w:b/>
          <w:bCs/>
          <w:sz w:val="52"/>
          <w:szCs w:val="52"/>
          <w:highlight w:val="none"/>
          <w:lang w:eastAsia="zh-CN"/>
        </w:rPr>
        <w:t>响应文件</w:t>
      </w:r>
    </w:p>
    <w:p w14:paraId="407697FA">
      <w:pPr>
        <w:rPr>
          <w:rFonts w:ascii="仿宋" w:hAnsi="仿宋" w:eastAsia="仿宋"/>
          <w:sz w:val="32"/>
          <w:szCs w:val="32"/>
          <w:highlight w:val="none"/>
        </w:rPr>
      </w:pPr>
    </w:p>
    <w:p w14:paraId="4B4C7918">
      <w:pPr>
        <w:rPr>
          <w:rFonts w:ascii="仿宋" w:hAnsi="仿宋" w:eastAsia="仿宋"/>
          <w:sz w:val="32"/>
          <w:szCs w:val="32"/>
          <w:highlight w:val="none"/>
        </w:rPr>
      </w:pPr>
    </w:p>
    <w:p w14:paraId="6041E380">
      <w:pPr>
        <w:rPr>
          <w:rFonts w:ascii="仿宋" w:hAnsi="仿宋" w:eastAsia="仿宋"/>
          <w:sz w:val="32"/>
          <w:szCs w:val="32"/>
          <w:highlight w:val="none"/>
        </w:rPr>
      </w:pPr>
    </w:p>
    <w:p w14:paraId="0194DCA5">
      <w:pPr>
        <w:rPr>
          <w:rFonts w:ascii="仿宋" w:hAnsi="仿宋" w:eastAsia="仿宋"/>
          <w:sz w:val="32"/>
          <w:szCs w:val="32"/>
          <w:highlight w:val="none"/>
        </w:rPr>
      </w:pPr>
    </w:p>
    <w:p w14:paraId="5BC25BE4">
      <w:pPr>
        <w:ind w:firstLine="566" w:firstLineChars="177"/>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hint="eastAsia" w:ascii="仿宋" w:hAnsi="仿宋" w:eastAsia="仿宋"/>
          <w:sz w:val="32"/>
          <w:szCs w:val="32"/>
          <w:highlight w:val="none"/>
        </w:rPr>
        <w:t>名称（加盖公章）：</w:t>
      </w:r>
      <w:r>
        <w:rPr>
          <w:rFonts w:ascii="仿宋" w:hAnsi="仿宋" w:eastAsia="仿宋"/>
          <w:sz w:val="32"/>
          <w:szCs w:val="32"/>
          <w:highlight w:val="none"/>
          <w:u w:val="single"/>
        </w:rPr>
        <w:t xml:space="preserve">                 </w:t>
      </w:r>
    </w:p>
    <w:p w14:paraId="5C11B3F6">
      <w:pPr>
        <w:ind w:firstLine="566" w:firstLineChars="177"/>
        <w:rPr>
          <w:rFonts w:ascii="仿宋" w:hAnsi="仿宋" w:eastAsia="仿宋"/>
          <w:sz w:val="32"/>
          <w:szCs w:val="32"/>
          <w:highlight w:val="none"/>
        </w:rPr>
      </w:pPr>
      <w:r>
        <w:rPr>
          <w:rFonts w:hint="eastAsia" w:ascii="仿宋" w:hAnsi="仿宋" w:eastAsia="仿宋"/>
          <w:sz w:val="32"/>
          <w:szCs w:val="32"/>
          <w:highlight w:val="none"/>
        </w:rPr>
        <w:t>联 系 人：</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003C3E34">
      <w:pPr>
        <w:ind w:firstLine="566" w:firstLineChars="177"/>
        <w:rPr>
          <w:rFonts w:ascii="仿宋" w:hAnsi="仿宋" w:eastAsia="仿宋"/>
          <w:sz w:val="32"/>
          <w:szCs w:val="32"/>
          <w:highlight w:val="none"/>
        </w:rPr>
      </w:pPr>
      <w:r>
        <w:rPr>
          <w:rFonts w:hint="eastAsia" w:ascii="仿宋" w:hAnsi="仿宋" w:eastAsia="仿宋"/>
          <w:sz w:val="32"/>
          <w:szCs w:val="32"/>
          <w:highlight w:val="none"/>
        </w:rPr>
        <w:t>联系电话：</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65FDC233">
      <w:pPr>
        <w:ind w:firstLine="566" w:firstLineChars="177"/>
        <w:rPr>
          <w:rFonts w:ascii="仿宋" w:hAnsi="仿宋" w:eastAsia="仿宋"/>
          <w:b/>
          <w:bCs/>
          <w:sz w:val="28"/>
          <w:szCs w:val="44"/>
          <w:highlight w:val="none"/>
        </w:rPr>
      </w:pPr>
      <w:r>
        <w:rPr>
          <w:rFonts w:hint="eastAsia" w:ascii="仿宋" w:hAnsi="仿宋" w:eastAsia="仿宋"/>
          <w:sz w:val="32"/>
          <w:szCs w:val="32"/>
          <w:highlight w:val="none"/>
        </w:rPr>
        <w:t>日  期：</w:t>
      </w:r>
      <w:r>
        <w:rPr>
          <w:rFonts w:ascii="仿宋" w:hAnsi="仿宋" w:eastAsia="仿宋"/>
          <w:sz w:val="32"/>
          <w:szCs w:val="32"/>
          <w:highlight w:val="none"/>
          <w:u w:val="single"/>
        </w:rPr>
        <w:t xml:space="preserve">    </w:t>
      </w:r>
      <w:r>
        <w:rPr>
          <w:rFonts w:hint="eastAsia" w:ascii="仿宋" w:hAnsi="仿宋" w:eastAsia="仿宋"/>
          <w:sz w:val="32"/>
          <w:szCs w:val="32"/>
          <w:highlight w:val="none"/>
          <w:u w:val="single"/>
        </w:rPr>
        <w:t xml:space="preserve">        </w:t>
      </w:r>
      <w:r>
        <w:rPr>
          <w:rFonts w:ascii="仿宋" w:hAnsi="仿宋" w:eastAsia="仿宋"/>
          <w:sz w:val="32"/>
          <w:szCs w:val="32"/>
          <w:highlight w:val="none"/>
          <w:u w:val="single"/>
        </w:rPr>
        <w:t xml:space="preserve">                     </w:t>
      </w:r>
    </w:p>
    <w:p w14:paraId="142C1F55">
      <w:pPr>
        <w:pStyle w:val="29"/>
        <w:numPr>
          <w:ilvl w:val="255"/>
          <w:numId w:val="0"/>
        </w:numPr>
        <w:spacing w:line="360" w:lineRule="auto"/>
        <w:outlineLvl w:val="1"/>
        <w:rPr>
          <w:rFonts w:ascii="仿宋" w:hAnsi="仿宋" w:eastAsia="仿宋"/>
          <w:b/>
          <w:bCs/>
          <w:sz w:val="28"/>
          <w:szCs w:val="44"/>
          <w:highlight w:val="none"/>
        </w:rPr>
      </w:pPr>
    </w:p>
    <w:p w14:paraId="718D825A">
      <w:pPr>
        <w:widowControl/>
        <w:jc w:val="left"/>
        <w:rPr>
          <w:rFonts w:ascii="仿宋" w:hAnsi="仿宋" w:eastAsia="仿宋"/>
          <w:b/>
          <w:bCs/>
          <w:sz w:val="28"/>
          <w:szCs w:val="44"/>
          <w:highlight w:val="none"/>
        </w:rPr>
      </w:pPr>
      <w:r>
        <w:rPr>
          <w:rFonts w:ascii="仿宋" w:hAnsi="仿宋" w:eastAsia="仿宋"/>
          <w:b/>
          <w:bCs/>
          <w:sz w:val="28"/>
          <w:szCs w:val="44"/>
          <w:highlight w:val="none"/>
        </w:rPr>
        <w:br w:type="page"/>
      </w:r>
    </w:p>
    <w:p w14:paraId="58445D7F">
      <w:pPr>
        <w:pStyle w:val="29"/>
        <w:numPr>
          <w:ilvl w:val="0"/>
          <w:numId w:val="2"/>
        </w:numPr>
        <w:spacing w:line="360" w:lineRule="auto"/>
        <w:ind w:firstLineChars="0"/>
        <w:outlineLvl w:val="1"/>
        <w:rPr>
          <w:rFonts w:ascii="仿宋" w:hAnsi="仿宋" w:eastAsia="仿宋"/>
          <w:b/>
          <w:bCs/>
          <w:sz w:val="28"/>
          <w:szCs w:val="44"/>
          <w:highlight w:val="none"/>
        </w:rPr>
      </w:pPr>
      <w:bookmarkStart w:id="26" w:name="_Toc25465_WPSOffice_Level1"/>
      <w:r>
        <w:rPr>
          <w:rFonts w:ascii="仿宋" w:hAnsi="仿宋" w:eastAsia="仿宋"/>
          <w:b/>
          <w:bCs/>
          <w:sz w:val="28"/>
          <w:szCs w:val="44"/>
          <w:highlight w:val="none"/>
        </w:rPr>
        <w:t>报价函</w:t>
      </w:r>
      <w:bookmarkEnd w:id="26"/>
    </w:p>
    <w:p w14:paraId="5B2512F7">
      <w:pPr>
        <w:spacing w:line="360" w:lineRule="auto"/>
        <w:jc w:val="center"/>
        <w:rPr>
          <w:rFonts w:ascii="仿宋" w:hAnsi="仿宋" w:eastAsia="仿宋"/>
          <w:sz w:val="44"/>
          <w:szCs w:val="44"/>
          <w:highlight w:val="none"/>
        </w:rPr>
      </w:pPr>
      <w:bookmarkStart w:id="27" w:name="_Toc7726_WPSOffice_Level1"/>
      <w:r>
        <w:rPr>
          <w:rFonts w:ascii="仿宋" w:hAnsi="仿宋" w:eastAsia="仿宋"/>
          <w:sz w:val="44"/>
          <w:szCs w:val="44"/>
          <w:highlight w:val="none"/>
        </w:rPr>
        <w:t>报价函</w:t>
      </w:r>
      <w:bookmarkEnd w:id="27"/>
    </w:p>
    <w:p w14:paraId="7DEA67A6">
      <w:pPr>
        <w:spacing w:line="360" w:lineRule="auto"/>
        <w:ind w:firstLine="560"/>
        <w:rPr>
          <w:rFonts w:ascii="仿宋" w:hAnsi="仿宋" w:eastAsia="仿宋"/>
          <w:sz w:val="32"/>
          <w:szCs w:val="32"/>
          <w:highlight w:val="none"/>
        </w:rPr>
      </w:pPr>
    </w:p>
    <w:p w14:paraId="49F8FA94">
      <w:pPr>
        <w:spacing w:line="360" w:lineRule="auto"/>
        <w:rPr>
          <w:rFonts w:ascii="仿宋" w:hAnsi="仿宋" w:eastAsia="仿宋"/>
          <w:sz w:val="32"/>
          <w:szCs w:val="32"/>
          <w:highlight w:val="none"/>
        </w:rPr>
      </w:pPr>
      <w:r>
        <w:rPr>
          <w:rFonts w:hint="eastAsia" w:eastAsia="仿宋_GB2312"/>
          <w:sz w:val="32"/>
          <w:szCs w:val="32"/>
          <w:highlight w:val="none"/>
        </w:rPr>
        <w:t>东莞市新东元环保投资有限公司</w:t>
      </w:r>
      <w:r>
        <w:rPr>
          <w:rFonts w:ascii="仿宋" w:hAnsi="仿宋" w:eastAsia="仿宋"/>
          <w:sz w:val="32"/>
          <w:szCs w:val="32"/>
          <w:highlight w:val="none"/>
        </w:rPr>
        <w:t>：</w:t>
      </w:r>
    </w:p>
    <w:p w14:paraId="520F162B">
      <w:pPr>
        <w:spacing w:line="360" w:lineRule="auto"/>
        <w:ind w:firstLine="640" w:firstLineChars="200"/>
        <w:rPr>
          <w:rFonts w:ascii="仿宋" w:hAnsi="仿宋" w:eastAsia="仿宋"/>
          <w:sz w:val="32"/>
          <w:szCs w:val="32"/>
          <w:highlight w:val="none"/>
        </w:rPr>
      </w:pPr>
      <w:r>
        <w:rPr>
          <w:rFonts w:ascii="仿宋" w:hAnsi="仿宋" w:eastAsia="仿宋"/>
          <w:sz w:val="32"/>
          <w:szCs w:val="32"/>
          <w:highlight w:val="none"/>
        </w:rPr>
        <w:t>针对贵司关于</w:t>
      </w:r>
      <w:r>
        <w:rPr>
          <w:rFonts w:hint="eastAsia" w:eastAsia="仿宋"/>
          <w:sz w:val="32"/>
          <w:szCs w:val="32"/>
          <w:highlight w:val="none"/>
          <w:lang w:eastAsia="zh-CN"/>
        </w:rPr>
        <w:t>东莞市海心沙资源综合利用中心环保热电厂2026年度氨水及水处理药剂采购项目</w:t>
      </w:r>
      <w:r>
        <w:rPr>
          <w:rFonts w:hint="eastAsia" w:eastAsia="仿宋"/>
          <w:sz w:val="32"/>
          <w:szCs w:val="32"/>
          <w:highlight w:val="none"/>
          <w:lang w:val="en-US" w:eastAsia="zh-CN"/>
        </w:rPr>
        <w:t>___包</w:t>
      </w:r>
      <w:r>
        <w:rPr>
          <w:rFonts w:hint="eastAsia" w:ascii="仿宋" w:hAnsi="仿宋" w:eastAsia="仿宋"/>
          <w:sz w:val="32"/>
          <w:szCs w:val="32"/>
          <w:highlight w:val="none"/>
        </w:rPr>
        <w:t>，</w:t>
      </w:r>
      <w:r>
        <w:rPr>
          <w:rFonts w:ascii="仿宋" w:hAnsi="仿宋" w:eastAsia="仿宋"/>
          <w:sz w:val="32"/>
          <w:szCs w:val="32"/>
        </w:rPr>
        <w:t>我司愿意</w:t>
      </w:r>
      <w:r>
        <w:rPr>
          <w:rFonts w:hint="eastAsia" w:ascii="仿宋" w:hAnsi="仿宋" w:eastAsia="仿宋"/>
          <w:sz w:val="32"/>
          <w:szCs w:val="32"/>
          <w:lang w:val="en-US" w:eastAsia="zh-CN"/>
        </w:rPr>
        <w:t>按报价清单单价</w:t>
      </w:r>
      <w:r>
        <w:rPr>
          <w:rFonts w:hint="eastAsia" w:ascii="仿宋" w:hAnsi="仿宋" w:eastAsia="仿宋"/>
          <w:sz w:val="32"/>
          <w:szCs w:val="32"/>
        </w:rPr>
        <w:t>承接此项目的供货及服务工作</w:t>
      </w:r>
      <w:r>
        <w:rPr>
          <w:rFonts w:hint="eastAsia" w:ascii="仿宋" w:hAnsi="仿宋" w:eastAsia="仿宋"/>
          <w:sz w:val="32"/>
          <w:szCs w:val="32"/>
          <w:lang w:val="en-US" w:eastAsia="zh-CN"/>
        </w:rPr>
        <w:t>，暂定总价</w:t>
      </w:r>
      <w:r>
        <w:rPr>
          <w:rFonts w:ascii="仿宋" w:hAnsi="仿宋" w:eastAsia="仿宋"/>
          <w:sz w:val="32"/>
          <w:szCs w:val="32"/>
        </w:rPr>
        <w:t>价税合计人民币xxxx元（大写），</w:t>
      </w:r>
      <w:r>
        <w:rPr>
          <w:rFonts w:ascii="Calibri" w:hAnsi="Calibri" w:eastAsia="仿宋" w:cs="Calibri"/>
          <w:sz w:val="32"/>
          <w:szCs w:val="32"/>
        </w:rPr>
        <w:t>¥</w:t>
      </w:r>
      <w:r>
        <w:rPr>
          <w:rFonts w:ascii="仿宋" w:hAnsi="仿宋" w:eastAsia="仿宋"/>
          <w:sz w:val="32"/>
          <w:szCs w:val="32"/>
        </w:rPr>
        <w:t>xxx.00（小写）</w:t>
      </w:r>
    </w:p>
    <w:p w14:paraId="6C9F77E5">
      <w:pPr>
        <w:spacing w:line="360" w:lineRule="auto"/>
        <w:rPr>
          <w:rFonts w:ascii="仿宋" w:hAnsi="仿宋" w:eastAsia="仿宋"/>
          <w:sz w:val="32"/>
          <w:szCs w:val="32"/>
          <w:highlight w:val="none"/>
        </w:rPr>
      </w:pPr>
    </w:p>
    <w:p w14:paraId="2E2F017D">
      <w:pPr>
        <w:spacing w:line="360" w:lineRule="auto"/>
        <w:rPr>
          <w:rFonts w:ascii="仿宋" w:hAnsi="仿宋" w:eastAsia="仿宋"/>
          <w:sz w:val="32"/>
          <w:szCs w:val="32"/>
          <w:highlight w:val="none"/>
        </w:rPr>
      </w:pPr>
    </w:p>
    <w:p w14:paraId="13EFB252">
      <w:pPr>
        <w:spacing w:line="360" w:lineRule="auto"/>
        <w:rPr>
          <w:rFonts w:ascii="仿宋" w:hAnsi="仿宋" w:eastAsia="仿宋"/>
          <w:sz w:val="32"/>
          <w:szCs w:val="32"/>
          <w:highlight w:val="none"/>
        </w:rPr>
      </w:pPr>
    </w:p>
    <w:p w14:paraId="10A32EE8">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B3A86F4">
      <w:pPr>
        <w:wordWrap w:val="0"/>
        <w:spacing w:line="360" w:lineRule="auto"/>
        <w:rPr>
          <w:rFonts w:ascii="仿宋" w:hAnsi="仿宋" w:eastAsia="仿宋"/>
          <w:sz w:val="32"/>
          <w:szCs w:val="32"/>
          <w:highlight w:val="none"/>
        </w:rPr>
      </w:pPr>
      <w:r>
        <w:rPr>
          <w:rFonts w:ascii="仿宋" w:hAnsi="仿宋" w:eastAsia="仿宋"/>
          <w:sz w:val="32"/>
          <w:szCs w:val="32"/>
          <w:highlight w:val="none"/>
        </w:rPr>
        <w:t>法定代表人（签名或盖章）：</w:t>
      </w:r>
    </w:p>
    <w:p w14:paraId="6F661AF3">
      <w:pPr>
        <w:wordWrap w:val="0"/>
        <w:spacing w:line="360" w:lineRule="auto"/>
        <w:rPr>
          <w:rFonts w:ascii="仿宋" w:hAnsi="仿宋" w:eastAsia="仿宋"/>
          <w:sz w:val="32"/>
          <w:szCs w:val="32"/>
          <w:highlight w:val="none"/>
        </w:rPr>
      </w:pPr>
      <w:r>
        <w:rPr>
          <w:rFonts w:ascii="仿宋" w:hAnsi="仿宋" w:eastAsia="仿宋"/>
          <w:sz w:val="32"/>
          <w:szCs w:val="32"/>
          <w:highlight w:val="none"/>
        </w:rPr>
        <w:t>联系人：</w:t>
      </w:r>
    </w:p>
    <w:p w14:paraId="5C69DA3A">
      <w:pPr>
        <w:wordWrap w:val="0"/>
        <w:spacing w:line="360" w:lineRule="auto"/>
        <w:rPr>
          <w:rFonts w:ascii="仿宋" w:hAnsi="仿宋" w:eastAsia="仿宋"/>
          <w:sz w:val="32"/>
          <w:szCs w:val="32"/>
          <w:highlight w:val="none"/>
        </w:rPr>
      </w:pPr>
      <w:r>
        <w:rPr>
          <w:rFonts w:ascii="仿宋" w:hAnsi="仿宋" w:eastAsia="仿宋"/>
          <w:sz w:val="32"/>
          <w:szCs w:val="32"/>
          <w:highlight w:val="none"/>
        </w:rPr>
        <w:t>联系电话：</w:t>
      </w:r>
    </w:p>
    <w:p w14:paraId="2B785670">
      <w:pPr>
        <w:wordWrap w:val="0"/>
        <w:spacing w:line="360" w:lineRule="auto"/>
        <w:rPr>
          <w:rFonts w:ascii="仿宋" w:hAnsi="仿宋" w:eastAsia="仿宋"/>
          <w:sz w:val="32"/>
          <w:szCs w:val="32"/>
          <w:highlight w:val="none"/>
        </w:rPr>
      </w:pPr>
      <w:r>
        <w:rPr>
          <w:rFonts w:ascii="仿宋" w:hAnsi="仿宋" w:eastAsia="仿宋"/>
          <w:sz w:val="32"/>
          <w:szCs w:val="32"/>
          <w:highlight w:val="none"/>
        </w:rPr>
        <w:t>日期：</w:t>
      </w:r>
    </w:p>
    <w:p w14:paraId="53A56EBA">
      <w:pPr>
        <w:wordWrap w:val="0"/>
        <w:spacing w:line="360" w:lineRule="auto"/>
        <w:rPr>
          <w:rFonts w:ascii="仿宋" w:hAnsi="仿宋" w:eastAsia="仿宋"/>
          <w:sz w:val="32"/>
          <w:szCs w:val="32"/>
          <w:highlight w:val="none"/>
        </w:rPr>
      </w:pPr>
    </w:p>
    <w:p w14:paraId="66A792C4">
      <w:pPr>
        <w:spacing w:line="360" w:lineRule="auto"/>
        <w:ind w:left="0" w:leftChars="0" w:firstLine="0" w:firstLineChars="0"/>
        <w:jc w:val="center"/>
        <w:rPr>
          <w:rFonts w:hint="default" w:ascii="宋体" w:hAnsi="宋体" w:eastAsia="宋体" w:cs="宋体"/>
          <w:color w:val="auto"/>
          <w:sz w:val="21"/>
          <w:szCs w:val="21"/>
          <w:highlight w:val="none"/>
          <w:lang w:val="en-US" w:eastAsia="zh-CN"/>
        </w:rPr>
      </w:pPr>
      <w:bookmarkStart w:id="28" w:name="_Toc20373_WPSOffice_Level1"/>
      <w:r>
        <w:rPr>
          <w:rFonts w:ascii="仿宋" w:hAnsi="仿宋" w:eastAsia="仿宋"/>
          <w:sz w:val="44"/>
          <w:szCs w:val="44"/>
          <w:highlight w:val="none"/>
        </w:rPr>
        <w:br w:type="page"/>
      </w:r>
      <w:r>
        <w:rPr>
          <w:rFonts w:hint="default" w:ascii="仿宋" w:hAnsi="仿宋" w:eastAsia="仿宋" w:cs="Times New Roman"/>
          <w:b w:val="0"/>
          <w:bCs w:val="0"/>
          <w:color w:val="auto"/>
          <w:sz w:val="44"/>
          <w:szCs w:val="44"/>
          <w:highlight w:val="none"/>
          <w:lang w:val="en-US" w:eastAsia="zh-CN"/>
        </w:rPr>
        <w:t>报价明细表</w:t>
      </w:r>
      <w:r>
        <w:rPr>
          <w:rFonts w:hint="default" w:ascii="仿宋" w:hAnsi="仿宋" w:eastAsia="仿宋" w:cs="Times New Roman"/>
          <w:b w:val="0"/>
          <w:bCs w:val="0"/>
          <w:color w:val="auto"/>
          <w:sz w:val="44"/>
          <w:szCs w:val="44"/>
          <w:highlight w:val="none"/>
        </w:rPr>
        <w:t>（包号：</w:t>
      </w:r>
      <w:r>
        <w:rPr>
          <w:rFonts w:hint="default" w:ascii="仿宋" w:hAnsi="仿宋" w:eastAsia="仿宋" w:cs="Times New Roman"/>
          <w:b w:val="0"/>
          <w:bCs w:val="0"/>
          <w:color w:val="auto"/>
          <w:sz w:val="44"/>
          <w:szCs w:val="44"/>
          <w:highlight w:val="none"/>
          <w:u w:val="none"/>
        </w:rPr>
        <w:t xml:space="preserve">   </w:t>
      </w:r>
      <w:r>
        <w:rPr>
          <w:rFonts w:hint="default" w:ascii="仿宋" w:hAnsi="仿宋" w:eastAsia="仿宋" w:cs="Times New Roman"/>
          <w:b w:val="0"/>
          <w:bCs w:val="0"/>
          <w:color w:val="auto"/>
          <w:sz w:val="44"/>
          <w:szCs w:val="44"/>
          <w:highlight w:val="none"/>
        </w:rPr>
        <w:t>）</w:t>
      </w:r>
    </w:p>
    <w:p w14:paraId="0BC04B91">
      <w:pPr>
        <w:spacing w:line="360" w:lineRule="auto"/>
        <w:ind w:left="1163" w:leftChars="171" w:hanging="804" w:hangingChars="383"/>
        <w:rPr>
          <w:rFonts w:hint="eastAsia" w:ascii="宋体" w:hAnsi="宋体" w:eastAsia="宋体" w:cs="宋体"/>
          <w:color w:val="auto"/>
          <w:sz w:val="21"/>
          <w:szCs w:val="21"/>
          <w:highlight w:val="none"/>
        </w:rPr>
      </w:pP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1226"/>
        <w:gridCol w:w="785"/>
        <w:gridCol w:w="957"/>
        <w:gridCol w:w="713"/>
        <w:gridCol w:w="1794"/>
        <w:gridCol w:w="2877"/>
      </w:tblGrid>
      <w:tr w14:paraId="4C39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B6C8940">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辅料名称/药剂名称</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3371FDFE">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品牌</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4A11A20F">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规格</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34DDD9E">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计量</w:t>
            </w:r>
          </w:p>
          <w:p w14:paraId="750D9F18">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单位</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C3E4132">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计划采购供货量</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69284B3D">
            <w:pPr>
              <w:pStyle w:val="2"/>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 xml:space="preserve">综合单价（元/吨） </w:t>
            </w:r>
          </w:p>
        </w:tc>
      </w:tr>
      <w:tr w14:paraId="00F3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4FF122C1">
            <w:pPr>
              <w:pStyle w:val="2"/>
              <w:snapToGrid w:val="0"/>
              <w:spacing w:line="400" w:lineRule="exact"/>
              <w:jc w:val="center"/>
              <w:rPr>
                <w:rFonts w:hint="eastAsia" w:ascii="宋体" w:hAnsi="宋体" w:eastAsia="宋体" w:cs="宋体"/>
                <w:color w:val="auto"/>
                <w:szCs w:val="21"/>
                <w:highlight w:val="none"/>
              </w:rPr>
            </w:pPr>
          </w:p>
        </w:tc>
        <w:tc>
          <w:tcPr>
            <w:tcW w:w="470" w:type="pct"/>
            <w:tcBorders>
              <w:top w:val="single" w:color="auto" w:sz="4" w:space="0"/>
              <w:left w:val="single" w:color="auto" w:sz="4" w:space="0"/>
              <w:bottom w:val="single" w:color="auto" w:sz="4" w:space="0"/>
              <w:right w:val="single" w:color="auto" w:sz="4" w:space="0"/>
            </w:tcBorders>
            <w:noWrap w:val="0"/>
            <w:vAlign w:val="center"/>
          </w:tcPr>
          <w:p w14:paraId="4C2BE8BF">
            <w:pPr>
              <w:pStyle w:val="2"/>
              <w:snapToGrid w:val="0"/>
              <w:spacing w:line="400" w:lineRule="exact"/>
              <w:jc w:val="center"/>
              <w:rPr>
                <w:rFonts w:hint="eastAsia" w:ascii="宋体" w:hAnsi="宋体" w:eastAsia="宋体" w:cs="宋体"/>
                <w:color w:val="auto"/>
                <w:szCs w:val="21"/>
                <w:highlight w:val="none"/>
              </w:rPr>
            </w:pPr>
          </w:p>
        </w:tc>
        <w:tc>
          <w:tcPr>
            <w:tcW w:w="573" w:type="pct"/>
            <w:tcBorders>
              <w:top w:val="single" w:color="auto" w:sz="4" w:space="0"/>
              <w:left w:val="single" w:color="auto" w:sz="4" w:space="0"/>
              <w:bottom w:val="single" w:color="auto" w:sz="4" w:space="0"/>
              <w:right w:val="single" w:color="auto" w:sz="4" w:space="0"/>
            </w:tcBorders>
            <w:noWrap w:val="0"/>
            <w:vAlign w:val="center"/>
          </w:tcPr>
          <w:p w14:paraId="027233B2">
            <w:pPr>
              <w:pStyle w:val="2"/>
              <w:snapToGrid w:val="0"/>
              <w:spacing w:line="400" w:lineRule="exact"/>
              <w:jc w:val="center"/>
              <w:rPr>
                <w:rFonts w:hint="eastAsia" w:ascii="宋体" w:hAnsi="宋体" w:eastAsia="宋体" w:cs="宋体"/>
                <w:color w:val="auto"/>
                <w:szCs w:val="21"/>
                <w:highlight w:val="none"/>
              </w:rPr>
            </w:pPr>
          </w:p>
        </w:tc>
        <w:tc>
          <w:tcPr>
            <w:tcW w:w="427" w:type="pct"/>
            <w:tcBorders>
              <w:top w:val="single" w:color="auto" w:sz="4" w:space="0"/>
              <w:left w:val="single" w:color="auto" w:sz="4" w:space="0"/>
              <w:bottom w:val="single" w:color="auto" w:sz="4" w:space="0"/>
              <w:right w:val="single" w:color="auto" w:sz="4" w:space="0"/>
            </w:tcBorders>
            <w:noWrap w:val="0"/>
            <w:vAlign w:val="center"/>
          </w:tcPr>
          <w:p w14:paraId="7A49445F">
            <w:pPr>
              <w:pStyle w:val="2"/>
              <w:snapToGrid w:val="0"/>
              <w:spacing w:line="400" w:lineRule="exact"/>
              <w:jc w:val="center"/>
              <w:rPr>
                <w:rFonts w:hint="eastAsia" w:ascii="宋体" w:hAnsi="宋体" w:eastAsia="宋体" w:cs="宋体"/>
                <w:color w:val="auto"/>
                <w:szCs w:val="21"/>
                <w:highlight w:val="none"/>
              </w:rPr>
            </w:pPr>
          </w:p>
        </w:tc>
        <w:tc>
          <w:tcPr>
            <w:tcW w:w="1074" w:type="pct"/>
            <w:tcBorders>
              <w:top w:val="single" w:color="auto" w:sz="4" w:space="0"/>
              <w:left w:val="single" w:color="auto" w:sz="4" w:space="0"/>
              <w:bottom w:val="single" w:color="auto" w:sz="4" w:space="0"/>
              <w:right w:val="single" w:color="auto" w:sz="4" w:space="0"/>
            </w:tcBorders>
            <w:noWrap w:val="0"/>
            <w:vAlign w:val="center"/>
          </w:tcPr>
          <w:p w14:paraId="28F366FB">
            <w:pPr>
              <w:pStyle w:val="2"/>
              <w:snapToGrid w:val="0"/>
              <w:spacing w:line="400" w:lineRule="exact"/>
              <w:jc w:val="center"/>
              <w:rPr>
                <w:rFonts w:hint="eastAsia" w:ascii="宋体" w:hAnsi="宋体" w:eastAsia="宋体" w:cs="宋体"/>
                <w:color w:val="auto"/>
                <w:szCs w:val="21"/>
                <w:highlight w:val="none"/>
              </w:rPr>
            </w:pP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94BE76E">
            <w:pPr>
              <w:pStyle w:val="2"/>
              <w:snapToGrid w:val="0"/>
              <w:spacing w:line="400" w:lineRule="exact"/>
              <w:jc w:val="center"/>
              <w:rPr>
                <w:rFonts w:hint="eastAsia" w:ascii="宋体" w:hAnsi="宋体" w:eastAsia="宋体" w:cs="宋体"/>
                <w:color w:val="auto"/>
                <w:szCs w:val="21"/>
                <w:highlight w:val="none"/>
              </w:rPr>
            </w:pPr>
          </w:p>
        </w:tc>
      </w:tr>
      <w:tr w14:paraId="523F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80" w:hRule="atLeast"/>
          <w:jc w:val="center"/>
        </w:trPr>
        <w:tc>
          <w:tcPr>
            <w:tcW w:w="734" w:type="pct"/>
            <w:tcBorders>
              <w:top w:val="single" w:color="auto" w:sz="4" w:space="0"/>
              <w:left w:val="single" w:color="auto" w:sz="4" w:space="0"/>
              <w:bottom w:val="single" w:color="auto" w:sz="4" w:space="0"/>
              <w:right w:val="single" w:color="auto" w:sz="4" w:space="0"/>
            </w:tcBorders>
            <w:noWrap w:val="0"/>
            <w:vAlign w:val="center"/>
          </w:tcPr>
          <w:p w14:paraId="38510E27">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70" w:type="pct"/>
            <w:tcBorders>
              <w:top w:val="single" w:color="auto" w:sz="4" w:space="0"/>
              <w:left w:val="single" w:color="auto" w:sz="4" w:space="0"/>
              <w:bottom w:val="single" w:color="auto" w:sz="4" w:space="0"/>
              <w:right w:val="single" w:color="auto" w:sz="4" w:space="0"/>
            </w:tcBorders>
            <w:noWrap w:val="0"/>
            <w:vAlign w:val="center"/>
          </w:tcPr>
          <w:p w14:paraId="736AD0A8">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573" w:type="pct"/>
            <w:tcBorders>
              <w:top w:val="single" w:color="auto" w:sz="4" w:space="0"/>
              <w:left w:val="single" w:color="auto" w:sz="4" w:space="0"/>
              <w:bottom w:val="single" w:color="auto" w:sz="4" w:space="0"/>
              <w:right w:val="single" w:color="auto" w:sz="4" w:space="0"/>
            </w:tcBorders>
            <w:noWrap w:val="0"/>
            <w:vAlign w:val="center"/>
          </w:tcPr>
          <w:p w14:paraId="5EFA47CA">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427" w:type="pct"/>
            <w:tcBorders>
              <w:top w:val="single" w:color="auto" w:sz="4" w:space="0"/>
              <w:left w:val="single" w:color="auto" w:sz="4" w:space="0"/>
              <w:bottom w:val="single" w:color="auto" w:sz="4" w:space="0"/>
              <w:right w:val="single" w:color="auto" w:sz="4" w:space="0"/>
            </w:tcBorders>
            <w:noWrap w:val="0"/>
            <w:vAlign w:val="center"/>
          </w:tcPr>
          <w:p w14:paraId="72F5A483">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074" w:type="pct"/>
            <w:tcBorders>
              <w:top w:val="single" w:color="auto" w:sz="4" w:space="0"/>
              <w:left w:val="single" w:color="auto" w:sz="4" w:space="0"/>
              <w:bottom w:val="single" w:color="auto" w:sz="4" w:space="0"/>
              <w:right w:val="single" w:color="auto" w:sz="4" w:space="0"/>
            </w:tcBorders>
            <w:noWrap w:val="0"/>
            <w:vAlign w:val="center"/>
          </w:tcPr>
          <w:p w14:paraId="43B40982">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c>
          <w:tcPr>
            <w:tcW w:w="1722" w:type="pct"/>
            <w:tcBorders>
              <w:top w:val="single" w:color="auto" w:sz="4" w:space="0"/>
              <w:left w:val="single" w:color="auto" w:sz="4" w:space="0"/>
              <w:bottom w:val="single" w:color="auto" w:sz="4" w:space="0"/>
              <w:right w:val="single" w:color="auto" w:sz="4" w:space="0"/>
            </w:tcBorders>
            <w:noWrap w:val="0"/>
            <w:vAlign w:val="center"/>
          </w:tcPr>
          <w:p w14:paraId="3BD76C1D">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p>
        </w:tc>
      </w:tr>
      <w:tr w14:paraId="17E11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jc w:val="center"/>
        </w:trPr>
        <w:tc>
          <w:tcPr>
            <w:tcW w:w="2204" w:type="pct"/>
            <w:gridSpan w:val="4"/>
            <w:tcBorders>
              <w:top w:val="single" w:color="auto" w:sz="4" w:space="0"/>
              <w:left w:val="single" w:color="auto" w:sz="4" w:space="0"/>
              <w:bottom w:val="single" w:color="auto" w:sz="4" w:space="0"/>
              <w:right w:val="single" w:color="auto" w:sz="4" w:space="0"/>
            </w:tcBorders>
            <w:noWrap w:val="0"/>
            <w:vAlign w:val="center"/>
          </w:tcPr>
          <w:p w14:paraId="54F44B65">
            <w:pPr>
              <w:pStyle w:val="2"/>
              <w:snapToGrid w:val="0"/>
              <w:spacing w:line="400" w:lineRule="exact"/>
              <w:jc w:val="center"/>
              <w:rPr>
                <w:rFonts w:hint="eastAsia" w:ascii="宋体" w:hAnsi="宋体" w:eastAsia="宋体" w:cs="宋体"/>
                <w:b/>
                <w:color w:val="auto"/>
                <w:szCs w:val="21"/>
                <w:highlight w:val="none"/>
              </w:rPr>
            </w:pPr>
            <w:r>
              <w:rPr>
                <w:rFonts w:hint="eastAsia" w:hAnsi="宋体" w:eastAsia="宋体" w:cs="宋体"/>
                <w:b/>
                <w:color w:val="auto"/>
                <w:szCs w:val="21"/>
                <w:highlight w:val="none"/>
                <w:lang w:val="en-US" w:eastAsia="zh-CN"/>
              </w:rPr>
              <w:t>总</w:t>
            </w:r>
            <w:r>
              <w:rPr>
                <w:rFonts w:hint="eastAsia" w:ascii="宋体" w:hAnsi="宋体" w:eastAsia="宋体" w:cs="宋体"/>
                <w:b/>
                <w:color w:val="auto"/>
                <w:szCs w:val="21"/>
                <w:highlight w:val="none"/>
              </w:rPr>
              <w:t>报价（元，暂定总价）</w:t>
            </w:r>
          </w:p>
        </w:tc>
        <w:tc>
          <w:tcPr>
            <w:tcW w:w="2796" w:type="pct"/>
            <w:gridSpan w:val="2"/>
            <w:tcBorders>
              <w:top w:val="single" w:color="auto" w:sz="4" w:space="0"/>
              <w:left w:val="single" w:color="auto" w:sz="4" w:space="0"/>
              <w:bottom w:val="single" w:color="auto" w:sz="4" w:space="0"/>
              <w:right w:val="single" w:color="auto" w:sz="4" w:space="0"/>
            </w:tcBorders>
            <w:noWrap w:val="0"/>
            <w:vAlign w:val="center"/>
          </w:tcPr>
          <w:p w14:paraId="0072A2E2">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41C55842">
            <w:pPr>
              <w:pStyle w:val="2"/>
              <w:snapToGrid w:val="0"/>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（小写：¥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tc>
      </w:tr>
    </w:tbl>
    <w:p w14:paraId="3E48EBF1">
      <w:pPr>
        <w:snapToGrid w:val="0"/>
        <w:spacing w:line="380" w:lineRule="exact"/>
        <w:rPr>
          <w:rFonts w:hint="eastAsia" w:ascii="宋体" w:hAnsi="宋体" w:eastAsia="宋体" w:cs="宋体"/>
          <w:color w:val="auto"/>
          <w:sz w:val="21"/>
          <w:szCs w:val="21"/>
          <w:highlight w:val="none"/>
        </w:rPr>
      </w:pPr>
    </w:p>
    <w:p w14:paraId="455D3C79">
      <w:pPr>
        <w:keepNext w:val="0"/>
        <w:keepLines w:val="0"/>
        <w:pageBreakBefore w:val="0"/>
        <w:widowControl/>
        <w:kinsoku/>
        <w:wordWrap/>
        <w:overflowPunct/>
        <w:topLinePunct w:val="0"/>
        <w:autoSpaceDE/>
        <w:autoSpaceDN/>
        <w:bidi w:val="0"/>
        <w:adjustRightInd w:val="0"/>
        <w:snapToGrid w:val="0"/>
        <w:spacing w:line="400" w:lineRule="exact"/>
        <w:ind w:left="716" w:leftChars="-59" w:hanging="840" w:hangingChars="4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备注：</w:t>
      </w:r>
    </w:p>
    <w:p w14:paraId="5FC9614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（1）</w:t>
      </w:r>
      <w:r>
        <w:rPr>
          <w:rFonts w:hint="eastAsia" w:ascii="宋体" w:hAnsi="宋体" w:eastAsia="宋体" w:cs="宋体"/>
          <w:b/>
          <w:color w:val="auto"/>
          <w:sz w:val="21"/>
          <w:szCs w:val="21"/>
          <w:highlight w:val="none"/>
          <w:u w:val="single"/>
        </w:rPr>
        <w:t>本项目报价为含税价，即为《中华人民共和国增值税暂行条例》（国务院令第691号修订版）规定的销售额，综合单价已包含    %增值税专用发票。</w:t>
      </w:r>
      <w:r>
        <w:rPr>
          <w:rFonts w:hint="eastAsia" w:ascii="宋体" w:hAnsi="宋体" w:eastAsia="宋体" w:cs="宋体"/>
          <w:color w:val="auto"/>
          <w:sz w:val="21"/>
          <w:szCs w:val="21"/>
          <w:highlight w:val="none"/>
          <w:u w:val="single"/>
        </w:rPr>
        <w:t>本采购文件所称的含税价是指含本采购项目的</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销项税额，包含了</w:t>
      </w:r>
      <w:r>
        <w:rPr>
          <w:rFonts w:hint="eastAsia" w:ascii="宋体" w:hAnsi="宋体" w:eastAsia="宋体" w:cs="宋体"/>
          <w:color w:val="auto"/>
          <w:sz w:val="21"/>
          <w:szCs w:val="21"/>
          <w:highlight w:val="none"/>
          <w:u w:val="single"/>
          <w:lang w:eastAsia="zh-CN"/>
        </w:rPr>
        <w:t>响应人</w:t>
      </w:r>
      <w:r>
        <w:rPr>
          <w:rFonts w:hint="eastAsia" w:ascii="宋体" w:hAnsi="宋体" w:eastAsia="宋体" w:cs="宋体"/>
          <w:color w:val="auto"/>
          <w:sz w:val="21"/>
          <w:szCs w:val="21"/>
          <w:highlight w:val="none"/>
          <w:u w:val="single"/>
        </w:rPr>
        <w:t>完成合同义务（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的其他全部费用。</w:t>
      </w:r>
    </w:p>
    <w:p w14:paraId="580DD52F">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b/>
          <w:color w:val="auto"/>
          <w:kern w:val="2"/>
          <w:sz w:val="21"/>
          <w:szCs w:val="21"/>
          <w:highlight w:val="none"/>
          <w:u w:val="single"/>
          <w:lang w:val="zh-CN"/>
        </w:rPr>
        <w:t>响应人</w:t>
      </w:r>
      <w:r>
        <w:rPr>
          <w:rFonts w:hint="eastAsia" w:ascii="宋体" w:hAnsi="宋体" w:eastAsia="宋体" w:cs="宋体"/>
          <w:b/>
          <w:bCs/>
          <w:color w:val="auto"/>
          <w:sz w:val="21"/>
          <w:highlight w:val="none"/>
          <w:u w:val="single"/>
        </w:rPr>
        <w:t>的综合单价报价</w:t>
      </w:r>
      <w:r>
        <w:rPr>
          <w:rFonts w:hint="eastAsia" w:ascii="宋体" w:hAnsi="宋体" w:eastAsia="宋体" w:cs="宋体"/>
          <w:b/>
          <w:bCs/>
          <w:color w:val="auto"/>
          <w:sz w:val="21"/>
          <w:highlight w:val="none"/>
          <w:u w:val="single"/>
          <w:lang w:val="en-US" w:eastAsia="zh-CN"/>
        </w:rPr>
        <w:t>任意一项</w:t>
      </w:r>
      <w:r>
        <w:rPr>
          <w:rFonts w:hint="eastAsia" w:ascii="宋体" w:hAnsi="宋体" w:eastAsia="宋体" w:cs="宋体"/>
          <w:b/>
          <w:bCs/>
          <w:color w:val="auto"/>
          <w:sz w:val="21"/>
          <w:highlight w:val="none"/>
          <w:u w:val="single"/>
        </w:rPr>
        <w:t>高于单价最高限价的，该</w:t>
      </w:r>
      <w:r>
        <w:rPr>
          <w:rFonts w:hint="eastAsia" w:ascii="宋体" w:hAnsi="宋体" w:eastAsia="宋体" w:cs="宋体"/>
          <w:b/>
          <w:bCs/>
          <w:color w:val="auto"/>
          <w:sz w:val="21"/>
          <w:highlight w:val="none"/>
          <w:u w:val="single"/>
          <w:lang w:eastAsia="zh-CN"/>
        </w:rPr>
        <w:t>响应人</w:t>
      </w:r>
      <w:r>
        <w:rPr>
          <w:rFonts w:hint="eastAsia" w:ascii="宋体" w:hAnsi="宋体" w:eastAsia="宋体" w:cs="宋体"/>
          <w:b/>
          <w:bCs/>
          <w:color w:val="auto"/>
          <w:sz w:val="21"/>
          <w:highlight w:val="none"/>
          <w:u w:val="single"/>
        </w:rPr>
        <w:t>的</w:t>
      </w:r>
      <w:r>
        <w:rPr>
          <w:rFonts w:hint="eastAsia" w:ascii="宋体" w:hAnsi="宋体" w:eastAsia="宋体" w:cs="宋体"/>
          <w:b/>
          <w:bCs/>
          <w:color w:val="auto"/>
          <w:sz w:val="21"/>
          <w:highlight w:val="none"/>
          <w:u w:val="single"/>
          <w:lang w:eastAsia="zh-CN"/>
        </w:rPr>
        <w:t>响应文件</w:t>
      </w:r>
      <w:r>
        <w:rPr>
          <w:rFonts w:hint="eastAsia" w:ascii="宋体" w:hAnsi="宋体" w:eastAsia="宋体" w:cs="宋体"/>
          <w:b/>
          <w:bCs/>
          <w:color w:val="auto"/>
          <w:sz w:val="21"/>
          <w:highlight w:val="none"/>
          <w:u w:val="single"/>
        </w:rPr>
        <w:t>将被视为无效响应。</w:t>
      </w:r>
    </w:p>
    <w:p w14:paraId="7D7D0BD3">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kern w:val="2"/>
          <w:sz w:val="21"/>
          <w:szCs w:val="21"/>
          <w:highlight w:val="none"/>
          <w:lang w:val="zh-CN"/>
        </w:rPr>
      </w:pPr>
      <w:r>
        <w:rPr>
          <w:rFonts w:hint="eastAsia" w:ascii="宋体" w:hAnsi="宋体" w:eastAsia="宋体" w:cs="宋体"/>
          <w:color w:val="auto"/>
          <w:sz w:val="21"/>
          <w:szCs w:val="21"/>
          <w:highlight w:val="none"/>
        </w:rPr>
        <w:t>（3）</w:t>
      </w:r>
      <w:r>
        <w:rPr>
          <w:rFonts w:hint="eastAsia" w:ascii="宋体" w:hAnsi="宋体" w:eastAsia="宋体" w:cs="宋体"/>
          <w:b/>
          <w:color w:val="auto"/>
          <w:sz w:val="21"/>
          <w:szCs w:val="21"/>
          <w:highlight w:val="none"/>
          <w:u w:val="single"/>
        </w:rPr>
        <w:t>本表的</w:t>
      </w:r>
      <w:r>
        <w:rPr>
          <w:rFonts w:hint="eastAsia" w:ascii="宋体" w:hAnsi="宋体" w:eastAsia="宋体" w:cs="宋体"/>
          <w:b/>
          <w:color w:val="auto"/>
          <w:sz w:val="21"/>
          <w:szCs w:val="21"/>
          <w:highlight w:val="none"/>
          <w:u w:val="single"/>
          <w:lang w:eastAsia="zh-CN"/>
        </w:rPr>
        <w:t>响应报价</w:t>
      </w:r>
      <w:r>
        <w:rPr>
          <w:rFonts w:hint="eastAsia" w:ascii="宋体" w:hAnsi="宋体" w:eastAsia="宋体" w:cs="宋体"/>
          <w:b/>
          <w:color w:val="auto"/>
          <w:sz w:val="21"/>
          <w:szCs w:val="21"/>
          <w:highlight w:val="none"/>
          <w:u w:val="single"/>
        </w:rPr>
        <w:t>为含税综合单价乘以计划采购供货量的总价</w:t>
      </w:r>
      <w:r>
        <w:rPr>
          <w:rFonts w:hint="eastAsia" w:ascii="宋体" w:hAnsi="宋体" w:eastAsia="宋体" w:cs="宋体"/>
          <w:b/>
          <w:color w:val="auto"/>
          <w:sz w:val="21"/>
          <w:szCs w:val="21"/>
          <w:highlight w:val="none"/>
        </w:rPr>
        <w:t>。</w:t>
      </w:r>
      <w:r>
        <w:rPr>
          <w:rFonts w:hint="eastAsia" w:ascii="宋体" w:hAnsi="宋体" w:eastAsia="宋体" w:cs="宋体"/>
          <w:color w:val="auto"/>
          <w:kern w:val="2"/>
          <w:sz w:val="21"/>
          <w:szCs w:val="21"/>
          <w:highlight w:val="none"/>
          <w:lang w:val="zh-CN"/>
        </w:rPr>
        <w:t>本表内响应报价金额与按单价计算的总金额不一致的，以单价计算结果为准，单价金额小数点有明显错位的，应以总价为准，并修正单价；对不同文字文本响应文件的解释发生异议的，以中文文本为准。</w:t>
      </w:r>
    </w:p>
    <w:p w14:paraId="4E6AA832">
      <w:pPr>
        <w:keepNext w:val="0"/>
        <w:keepLines w:val="0"/>
        <w:pageBreakBefore w:val="0"/>
        <w:widowControl/>
        <w:kinsoku/>
        <w:wordWrap/>
        <w:overflowPunct/>
        <w:topLinePunct w:val="0"/>
        <w:autoSpaceDE/>
        <w:autoSpaceDN/>
        <w:bidi w:val="0"/>
        <w:adjustRightInd w:val="0"/>
        <w:snapToGrid w:val="0"/>
        <w:spacing w:line="400" w:lineRule="exact"/>
        <w:ind w:left="396" w:leftChars="-58" w:hanging="518" w:hangingChars="247"/>
        <w:textAlignment w:val="auto"/>
        <w:rPr>
          <w:rFonts w:hint="eastAsia" w:ascii="宋体" w:hAnsi="宋体" w:eastAsia="宋体" w:cs="宋体"/>
          <w:color w:val="auto"/>
          <w:sz w:val="21"/>
          <w:szCs w:val="22"/>
          <w:highlight w:val="none"/>
        </w:rPr>
      </w:pPr>
      <w:r>
        <w:rPr>
          <w:rFonts w:hint="eastAsia" w:ascii="宋体" w:hAnsi="宋体" w:eastAsia="宋体" w:cs="宋体"/>
          <w:color w:val="auto"/>
          <w:kern w:val="2"/>
          <w:sz w:val="21"/>
          <w:highlight w:val="none"/>
          <w:lang w:val="zh-CN"/>
        </w:rPr>
        <w:t>（4）上述计划采购供货量仅为方便合计响应报价使用，不作为采购人最终购买数量的保证，我方承诺不因实际采购数量的减少或增加而要求采购人提供任何形式的补偿或赔偿。</w:t>
      </w:r>
    </w:p>
    <w:p w14:paraId="219242F9">
      <w:pPr>
        <w:pStyle w:val="2"/>
        <w:rPr>
          <w:rFonts w:hint="eastAsia"/>
          <w:highlight w:val="none"/>
        </w:rPr>
      </w:pPr>
    </w:p>
    <w:p w14:paraId="1889E8AD">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代表签字：</w:t>
      </w:r>
    </w:p>
    <w:p w14:paraId="17E7D9CE">
      <w:pPr>
        <w:snapToGrid w:val="0"/>
        <w:spacing w:line="360" w:lineRule="auto"/>
        <w:rPr>
          <w:rFonts w:hint="eastAsia" w:ascii="仿宋" w:hAnsi="仿宋" w:eastAsia="仿宋" w:cs="Times New Roman"/>
          <w:color w:val="auto"/>
          <w:sz w:val="32"/>
          <w:szCs w:val="32"/>
          <w:highlight w:val="none"/>
        </w:rPr>
      </w:pPr>
      <w:r>
        <w:rPr>
          <w:rFonts w:hint="eastAsia" w:ascii="仿宋" w:hAnsi="仿宋" w:eastAsia="仿宋" w:cs="Times New Roman"/>
          <w:color w:val="auto"/>
          <w:sz w:val="32"/>
          <w:szCs w:val="32"/>
          <w:highlight w:val="none"/>
          <w:lang w:eastAsia="zh-CN"/>
        </w:rPr>
        <w:t>响应人</w:t>
      </w:r>
      <w:r>
        <w:rPr>
          <w:rFonts w:hint="eastAsia" w:ascii="仿宋" w:hAnsi="仿宋" w:eastAsia="仿宋" w:cs="Times New Roman"/>
          <w:color w:val="auto"/>
          <w:sz w:val="32"/>
          <w:szCs w:val="32"/>
          <w:highlight w:val="none"/>
        </w:rPr>
        <w:t>盖章：</w:t>
      </w:r>
    </w:p>
    <w:p w14:paraId="5044AC81">
      <w:pPr>
        <w:snapToGrid w:val="0"/>
        <w:spacing w:line="360" w:lineRule="auto"/>
        <w:rPr>
          <w:rFonts w:hint="eastAsia" w:ascii="宋体" w:hAnsi="宋体" w:eastAsia="宋体" w:cs="宋体"/>
          <w:color w:val="auto"/>
          <w:sz w:val="22"/>
          <w:szCs w:val="22"/>
          <w:highlight w:val="none"/>
        </w:rPr>
      </w:pPr>
      <w:r>
        <w:rPr>
          <w:rFonts w:hint="eastAsia" w:ascii="仿宋" w:hAnsi="仿宋" w:eastAsia="仿宋" w:cs="Times New Roman"/>
          <w:color w:val="auto"/>
          <w:sz w:val="32"/>
          <w:szCs w:val="32"/>
          <w:highlight w:val="none"/>
        </w:rPr>
        <w:t>日期：      年    月    日</w:t>
      </w:r>
      <w:r>
        <w:rPr>
          <w:rFonts w:hint="eastAsia" w:ascii="宋体" w:hAnsi="宋体" w:eastAsia="宋体" w:cs="宋体"/>
          <w:color w:val="auto"/>
          <w:sz w:val="22"/>
          <w:szCs w:val="22"/>
          <w:highlight w:val="none"/>
        </w:rPr>
        <w:br w:type="page"/>
      </w:r>
    </w:p>
    <w:bookmarkEnd w:id="28"/>
    <w:p w14:paraId="719DAA1E">
      <w:pPr>
        <w:pStyle w:val="29"/>
        <w:numPr>
          <w:ilvl w:val="0"/>
          <w:numId w:val="2"/>
        </w:numPr>
        <w:spacing w:line="360" w:lineRule="auto"/>
        <w:ind w:firstLineChars="0"/>
        <w:outlineLvl w:val="1"/>
        <w:rPr>
          <w:rFonts w:ascii="仿宋" w:hAnsi="仿宋" w:eastAsia="仿宋"/>
          <w:b/>
          <w:bCs/>
          <w:sz w:val="28"/>
          <w:szCs w:val="44"/>
          <w:highlight w:val="none"/>
        </w:rPr>
      </w:pPr>
      <w:bookmarkStart w:id="29" w:name="_Toc28030_WPSOffice_Level1"/>
      <w:r>
        <w:rPr>
          <w:rFonts w:ascii="仿宋" w:hAnsi="仿宋" w:eastAsia="仿宋"/>
          <w:b/>
          <w:bCs/>
          <w:sz w:val="28"/>
          <w:szCs w:val="44"/>
          <w:highlight w:val="none"/>
        </w:rPr>
        <w:t>法人证明</w:t>
      </w:r>
      <w:bookmarkEnd w:id="29"/>
    </w:p>
    <w:p w14:paraId="6D8A4052">
      <w:pPr>
        <w:spacing w:line="360" w:lineRule="auto"/>
        <w:jc w:val="center"/>
        <w:rPr>
          <w:rFonts w:ascii="仿宋" w:hAnsi="仿宋" w:eastAsia="仿宋"/>
          <w:b/>
          <w:bCs/>
          <w:sz w:val="32"/>
          <w:szCs w:val="32"/>
          <w:highlight w:val="none"/>
        </w:rPr>
      </w:pPr>
      <w:bookmarkStart w:id="30" w:name="_Toc7977_WPSOffice_Level2"/>
      <w:r>
        <w:rPr>
          <w:rFonts w:ascii="仿宋" w:hAnsi="仿宋" w:eastAsia="仿宋"/>
          <w:b/>
          <w:bCs/>
          <w:sz w:val="32"/>
          <w:szCs w:val="32"/>
          <w:highlight w:val="none"/>
        </w:rPr>
        <w:t>法定代表人身份证明书</w:t>
      </w:r>
      <w:bookmarkEnd w:id="30"/>
    </w:p>
    <w:p w14:paraId="3A6B3DCD">
      <w:pPr>
        <w:spacing w:line="360" w:lineRule="auto"/>
        <w:rPr>
          <w:rFonts w:ascii="仿宋" w:hAnsi="仿宋" w:eastAsia="仿宋"/>
          <w:sz w:val="32"/>
          <w:szCs w:val="32"/>
          <w:highlight w:val="none"/>
        </w:rPr>
      </w:pPr>
    </w:p>
    <w:p w14:paraId="5D54C5A3">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1753A9FD">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本证明书声明：注册于</w:t>
      </w:r>
      <w:r>
        <w:rPr>
          <w:rFonts w:ascii="仿宋" w:hAnsi="仿宋" w:eastAsia="仿宋" w:cs="Times New Roman"/>
          <w:sz w:val="32"/>
          <w:szCs w:val="32"/>
          <w:highlight w:val="none"/>
          <w:u w:val="single"/>
        </w:rPr>
        <w:t xml:space="preserve">     </w:t>
      </w:r>
      <w:r>
        <w:rPr>
          <w:rFonts w:ascii="仿宋" w:hAnsi="仿宋" w:eastAsia="仿宋" w:cs="Times New Roman"/>
          <w:sz w:val="32"/>
          <w:szCs w:val="32"/>
          <w:highlight w:val="none"/>
        </w:rPr>
        <w:t>（国家名称）的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w:t>
      </w: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名称）在下面签字的</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（法定代表人姓名、职务）为本公司的合法代表人（</w:t>
      </w:r>
      <w:r>
        <w:rPr>
          <w:rFonts w:ascii="仿宋" w:hAnsi="仿宋" w:eastAsia="仿宋" w:cs="Times New Roman"/>
          <w:b/>
          <w:bCs/>
          <w:sz w:val="32"/>
          <w:szCs w:val="32"/>
          <w:highlight w:val="none"/>
        </w:rPr>
        <w:t>须附法定代表人身份证复印件</w:t>
      </w:r>
      <w:r>
        <w:rPr>
          <w:rFonts w:ascii="仿宋" w:hAnsi="仿宋" w:eastAsia="仿宋" w:cs="Times New Roman"/>
          <w:sz w:val="32"/>
          <w:szCs w:val="32"/>
          <w:highlight w:val="none"/>
        </w:rPr>
        <w:t>）。</w:t>
      </w:r>
    </w:p>
    <w:p w14:paraId="535523F5">
      <w:pPr>
        <w:spacing w:line="360" w:lineRule="auto"/>
        <w:ind w:firstLine="480" w:firstLineChars="150"/>
        <w:rPr>
          <w:rFonts w:ascii="仿宋" w:hAnsi="仿宋" w:eastAsia="仿宋"/>
          <w:sz w:val="32"/>
          <w:szCs w:val="32"/>
          <w:highlight w:val="none"/>
        </w:rPr>
      </w:pPr>
      <w:r>
        <w:rPr>
          <w:rFonts w:ascii="仿宋" w:hAnsi="仿宋" w:eastAsia="仿宋"/>
          <w:sz w:val="32"/>
          <w:szCs w:val="32"/>
          <w:highlight w:val="none"/>
        </w:rPr>
        <w:t>特此证明</w:t>
      </w:r>
    </w:p>
    <w:p w14:paraId="2B590E01">
      <w:pPr>
        <w:spacing w:line="360" w:lineRule="auto"/>
        <w:rPr>
          <w:rFonts w:ascii="仿宋" w:hAnsi="仿宋" w:eastAsia="仿宋"/>
          <w:sz w:val="32"/>
          <w:szCs w:val="32"/>
          <w:highlight w:val="none"/>
        </w:rPr>
      </w:pPr>
    </w:p>
    <w:p w14:paraId="533BAA91">
      <w:pPr>
        <w:spacing w:line="360" w:lineRule="auto"/>
        <w:rPr>
          <w:rFonts w:ascii="仿宋" w:hAnsi="仿宋" w:eastAsia="仿宋"/>
          <w:sz w:val="32"/>
          <w:szCs w:val="32"/>
          <w:highlight w:val="none"/>
        </w:rPr>
      </w:pPr>
    </w:p>
    <w:p w14:paraId="39BAEE90">
      <w:pPr>
        <w:spacing w:line="360" w:lineRule="auto"/>
        <w:rPr>
          <w:rFonts w:ascii="仿宋" w:hAnsi="仿宋" w:eastAsia="仿宋"/>
          <w:sz w:val="32"/>
          <w:szCs w:val="32"/>
          <w:highlight w:val="none"/>
        </w:rPr>
      </w:pPr>
    </w:p>
    <w:p w14:paraId="491ACAC7">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名称（加盖公章）：</w:t>
      </w:r>
    </w:p>
    <w:p w14:paraId="0F61BBF0">
      <w:pPr>
        <w:spacing w:line="360" w:lineRule="auto"/>
        <w:rPr>
          <w:rFonts w:ascii="仿宋" w:hAnsi="仿宋" w:eastAsia="仿宋"/>
          <w:sz w:val="32"/>
          <w:szCs w:val="32"/>
          <w:highlight w:val="none"/>
        </w:rPr>
      </w:pPr>
      <w:r>
        <w:rPr>
          <w:rFonts w:hint="eastAsia" w:ascii="仿宋" w:hAnsi="仿宋" w:eastAsia="仿宋"/>
          <w:sz w:val="32"/>
          <w:szCs w:val="32"/>
          <w:highlight w:val="none"/>
          <w:lang w:eastAsia="zh-CN"/>
        </w:rPr>
        <w:t>响应人</w:t>
      </w:r>
      <w:r>
        <w:rPr>
          <w:rFonts w:ascii="仿宋" w:hAnsi="仿宋" w:eastAsia="仿宋"/>
          <w:sz w:val="32"/>
          <w:szCs w:val="32"/>
          <w:highlight w:val="none"/>
        </w:rPr>
        <w:t>地址：</w:t>
      </w:r>
    </w:p>
    <w:p w14:paraId="646A9C43">
      <w:pPr>
        <w:spacing w:line="360" w:lineRule="auto"/>
        <w:rPr>
          <w:rFonts w:ascii="仿宋" w:hAnsi="仿宋" w:eastAsia="仿宋"/>
          <w:sz w:val="32"/>
          <w:szCs w:val="32"/>
          <w:highlight w:val="none"/>
        </w:rPr>
      </w:pPr>
      <w:r>
        <w:rPr>
          <w:rFonts w:ascii="仿宋" w:hAnsi="仿宋" w:eastAsia="仿宋"/>
          <w:sz w:val="32"/>
          <w:szCs w:val="32"/>
          <w:highlight w:val="none"/>
        </w:rPr>
        <w:t>法定代表人（签名或盖私章）：</w:t>
      </w:r>
    </w:p>
    <w:p w14:paraId="6FFD5E13">
      <w:pPr>
        <w:spacing w:line="360" w:lineRule="auto"/>
        <w:rPr>
          <w:rFonts w:ascii="仿宋" w:hAnsi="仿宋" w:eastAsia="仿宋"/>
          <w:sz w:val="32"/>
          <w:szCs w:val="32"/>
          <w:highlight w:val="none"/>
        </w:rPr>
      </w:pPr>
      <w:r>
        <w:rPr>
          <w:rFonts w:ascii="仿宋" w:hAnsi="仿宋" w:eastAsia="仿宋"/>
          <w:sz w:val="32"/>
          <w:szCs w:val="32"/>
          <w:highlight w:val="none"/>
        </w:rPr>
        <w:t>职务：</w:t>
      </w:r>
    </w:p>
    <w:p w14:paraId="10443283">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4DEAD1E0">
      <w:pPr>
        <w:spacing w:line="360" w:lineRule="auto"/>
        <w:jc w:val="center"/>
        <w:rPr>
          <w:rFonts w:ascii="仿宋" w:hAnsi="仿宋" w:eastAsia="仿宋"/>
          <w:sz w:val="32"/>
          <w:szCs w:val="32"/>
          <w:highlight w:val="none"/>
        </w:rPr>
      </w:pPr>
      <w:r>
        <w:rPr>
          <w:rFonts w:ascii="仿宋" w:hAnsi="仿宋" w:eastAsia="仿宋"/>
          <w:b/>
          <w:bCs/>
          <w:sz w:val="32"/>
          <w:szCs w:val="32"/>
          <w:highlight w:val="none"/>
        </w:rPr>
        <w:t>法定代表人身份证复印件</w:t>
      </w:r>
    </w:p>
    <w:p w14:paraId="2E58AF5E">
      <w:pPr>
        <w:widowControl/>
        <w:spacing w:line="360" w:lineRule="auto"/>
        <w:rPr>
          <w:rFonts w:ascii="仿宋" w:hAnsi="仿宋" w:eastAsia="仿宋"/>
          <w:sz w:val="32"/>
          <w:szCs w:val="32"/>
          <w:highlight w:val="none"/>
        </w:rPr>
      </w:pPr>
      <w:r>
        <w:rPr>
          <w:rFonts w:ascii="仿宋" w:hAnsi="仿宋" w:eastAsia="仿宋"/>
          <w:sz w:val="32"/>
          <w:szCs w:val="32"/>
          <w:highlight w:val="none"/>
        </w:rPr>
        <w:br w:type="page"/>
      </w:r>
      <w:bookmarkStart w:id="31" w:name="_Toc384752807"/>
    </w:p>
    <w:p w14:paraId="2E3273DC">
      <w:pPr>
        <w:pStyle w:val="29"/>
        <w:numPr>
          <w:ilvl w:val="0"/>
          <w:numId w:val="2"/>
        </w:numPr>
        <w:spacing w:line="360" w:lineRule="auto"/>
        <w:ind w:firstLineChars="0"/>
        <w:outlineLvl w:val="1"/>
        <w:rPr>
          <w:rFonts w:ascii="仿宋" w:hAnsi="仿宋" w:eastAsia="仿宋"/>
          <w:b/>
          <w:bCs/>
          <w:sz w:val="28"/>
          <w:szCs w:val="44"/>
          <w:highlight w:val="none"/>
        </w:rPr>
      </w:pPr>
      <w:bookmarkStart w:id="32" w:name="_Toc14680_WPSOffice_Level1"/>
      <w:r>
        <w:rPr>
          <w:rFonts w:ascii="仿宋" w:hAnsi="仿宋" w:eastAsia="仿宋"/>
          <w:b/>
          <w:bCs/>
          <w:sz w:val="28"/>
          <w:szCs w:val="44"/>
          <w:highlight w:val="none"/>
        </w:rPr>
        <w:t>法人授权书</w:t>
      </w:r>
      <w:bookmarkEnd w:id="32"/>
    </w:p>
    <w:p w14:paraId="2C224505">
      <w:pPr>
        <w:widowControl/>
        <w:spacing w:line="360" w:lineRule="auto"/>
        <w:jc w:val="center"/>
        <w:rPr>
          <w:rFonts w:ascii="仿宋" w:hAnsi="仿宋" w:eastAsia="仿宋"/>
          <w:sz w:val="32"/>
          <w:szCs w:val="32"/>
          <w:highlight w:val="none"/>
        </w:rPr>
      </w:pPr>
      <w:bookmarkStart w:id="33" w:name="_Toc25465_WPSOffice_Level2"/>
      <w:r>
        <w:rPr>
          <w:rFonts w:ascii="仿宋" w:hAnsi="仿宋" w:eastAsia="仿宋"/>
          <w:b/>
          <w:sz w:val="32"/>
          <w:szCs w:val="32"/>
          <w:highlight w:val="none"/>
        </w:rPr>
        <w:t>授权委托书</w:t>
      </w:r>
      <w:bookmarkEnd w:id="31"/>
      <w:bookmarkEnd w:id="33"/>
    </w:p>
    <w:p w14:paraId="0D5F1435">
      <w:pPr>
        <w:pStyle w:val="22"/>
        <w:spacing w:line="360" w:lineRule="auto"/>
        <w:ind w:firstLine="0" w:firstLineChars="0"/>
        <w:rPr>
          <w:rFonts w:ascii="仿宋" w:hAnsi="仿宋" w:eastAsia="仿宋" w:cs="Times New Roman"/>
          <w:sz w:val="32"/>
          <w:szCs w:val="32"/>
          <w:highlight w:val="none"/>
        </w:rPr>
      </w:pPr>
    </w:p>
    <w:p w14:paraId="1B9D8365">
      <w:pPr>
        <w:pStyle w:val="22"/>
        <w:spacing w:line="360" w:lineRule="auto"/>
        <w:ind w:firstLine="0" w:firstLineChars="0"/>
        <w:rPr>
          <w:rFonts w:ascii="仿宋" w:hAnsi="仿宋" w:eastAsia="仿宋" w:cs="Times New Roman"/>
          <w:sz w:val="32"/>
          <w:szCs w:val="32"/>
          <w:highlight w:val="none"/>
        </w:rPr>
      </w:pPr>
      <w:r>
        <w:rPr>
          <w:sz w:val="32"/>
          <w:szCs w:val="32"/>
          <w:highlight w:val="none"/>
        </w:rPr>
        <w:t>东莞市新东</w:t>
      </w:r>
      <w:r>
        <w:rPr>
          <w:rFonts w:hint="eastAsia"/>
          <w:sz w:val="32"/>
          <w:szCs w:val="32"/>
          <w:highlight w:val="none"/>
        </w:rPr>
        <w:t>元</w:t>
      </w:r>
      <w:r>
        <w:rPr>
          <w:sz w:val="32"/>
          <w:szCs w:val="32"/>
          <w:highlight w:val="none"/>
        </w:rPr>
        <w:t>环保投资有限公司</w:t>
      </w:r>
      <w:r>
        <w:rPr>
          <w:rFonts w:ascii="仿宋" w:hAnsi="仿宋" w:eastAsia="仿宋" w:cs="Times New Roman"/>
          <w:sz w:val="32"/>
          <w:szCs w:val="32"/>
          <w:highlight w:val="none"/>
        </w:rPr>
        <w:t>：</w:t>
      </w:r>
    </w:p>
    <w:p w14:paraId="09122784">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本委托书声明：在下面签字的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法定代表人姓名、职务）</w:t>
      </w:r>
      <w:r>
        <w:rPr>
          <w:rFonts w:ascii="仿宋" w:hAnsi="仿宋" w:eastAsia="仿宋" w:cs="Times New Roman"/>
          <w:sz w:val="32"/>
          <w:szCs w:val="32"/>
          <w:highlight w:val="none"/>
        </w:rPr>
        <w:t>代表</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hint="eastAsia" w:ascii="仿宋" w:hAnsi="仿宋" w:eastAsia="仿宋" w:cs="Times New Roman"/>
          <w:sz w:val="32"/>
          <w:szCs w:val="32"/>
          <w:highlight w:val="none"/>
          <w:u w:val="single"/>
          <w:lang w:eastAsia="zh-CN"/>
        </w:rPr>
        <w:t>响应人</w:t>
      </w:r>
      <w:r>
        <w:rPr>
          <w:rFonts w:ascii="仿宋" w:hAnsi="仿宋" w:eastAsia="仿宋" w:cs="Times New Roman"/>
          <w:sz w:val="32"/>
          <w:szCs w:val="32"/>
          <w:highlight w:val="none"/>
          <w:u w:val="single"/>
        </w:rPr>
        <w:t>名称）</w:t>
      </w:r>
      <w:r>
        <w:rPr>
          <w:rFonts w:ascii="仿宋" w:hAnsi="仿宋" w:eastAsia="仿宋" w:cs="Times New Roman"/>
          <w:sz w:val="32"/>
          <w:szCs w:val="32"/>
          <w:highlight w:val="none"/>
        </w:rPr>
        <w:t>委托在下面签字的</w:t>
      </w:r>
      <w:r>
        <w:rPr>
          <w:rFonts w:ascii="仿宋" w:hAnsi="仿宋" w:eastAsia="仿宋" w:cs="Times New Roman"/>
          <w:sz w:val="32"/>
          <w:szCs w:val="32"/>
          <w:highlight w:val="none"/>
          <w:u w:val="single"/>
        </w:rPr>
        <w:t>（</w:t>
      </w:r>
      <w:r>
        <w:rPr>
          <w:rFonts w:hint="eastAsia" w:ascii="仿宋" w:hAnsi="仿宋" w:eastAsia="仿宋" w:cs="Times New Roman"/>
          <w:sz w:val="32"/>
          <w:szCs w:val="32"/>
          <w:highlight w:val="none"/>
          <w:u w:val="single"/>
        </w:rPr>
        <w:t>填写</w:t>
      </w:r>
      <w:r>
        <w:rPr>
          <w:rFonts w:ascii="仿宋" w:hAnsi="仿宋" w:eastAsia="仿宋" w:cs="Times New Roman"/>
          <w:sz w:val="32"/>
          <w:szCs w:val="32"/>
          <w:highlight w:val="none"/>
          <w:u w:val="single"/>
        </w:rPr>
        <w:t>受委托人的姓名、职务）</w:t>
      </w:r>
      <w:r>
        <w:rPr>
          <w:rFonts w:ascii="仿宋" w:hAnsi="仿宋" w:eastAsia="仿宋" w:cs="Times New Roman"/>
          <w:sz w:val="32"/>
          <w:szCs w:val="32"/>
          <w:highlight w:val="none"/>
        </w:rPr>
        <w:t>为本公司的合法代表人，就</w:t>
      </w:r>
      <w:r>
        <w:rPr>
          <w:rFonts w:hint="eastAsia" w:eastAsia="仿宋"/>
          <w:sz w:val="32"/>
          <w:szCs w:val="32"/>
          <w:highlight w:val="none"/>
          <w:lang w:eastAsia="zh-CN"/>
        </w:rPr>
        <w:t>东莞市海心沙资源综合利用中心环保热电厂2026年度氨水及水处理药剂采购项目</w:t>
      </w:r>
      <w:r>
        <w:rPr>
          <w:rFonts w:hint="eastAsia" w:eastAsia="仿宋"/>
          <w:sz w:val="32"/>
          <w:szCs w:val="32"/>
          <w:highlight w:val="none"/>
          <w:u w:val="single"/>
          <w:lang w:val="en-US" w:eastAsia="zh-CN"/>
        </w:rPr>
        <w:t xml:space="preserve">    </w:t>
      </w:r>
      <w:r>
        <w:rPr>
          <w:rFonts w:hint="eastAsia" w:eastAsia="仿宋"/>
          <w:sz w:val="32"/>
          <w:szCs w:val="32"/>
          <w:highlight w:val="none"/>
          <w:lang w:val="en-US" w:eastAsia="zh-CN"/>
        </w:rPr>
        <w:t>包</w:t>
      </w:r>
      <w:r>
        <w:rPr>
          <w:rFonts w:ascii="仿宋" w:hAnsi="仿宋" w:eastAsia="仿宋" w:cs="Times New Roman"/>
          <w:sz w:val="32"/>
          <w:szCs w:val="32"/>
          <w:highlight w:val="none"/>
        </w:rPr>
        <w:t>相关</w:t>
      </w:r>
      <w:r>
        <w:rPr>
          <w:rFonts w:hint="eastAsia" w:ascii="仿宋" w:hAnsi="仿宋" w:eastAsia="仿宋" w:cs="Times New Roman"/>
          <w:sz w:val="32"/>
          <w:szCs w:val="32"/>
          <w:highlight w:val="none"/>
        </w:rPr>
        <w:t>供货、服务</w:t>
      </w:r>
      <w:r>
        <w:rPr>
          <w:rFonts w:ascii="仿宋" w:hAnsi="仿宋" w:eastAsia="仿宋" w:cs="Times New Roman"/>
          <w:sz w:val="32"/>
          <w:szCs w:val="32"/>
          <w:highlight w:val="none"/>
        </w:rPr>
        <w:t>的谈判和合同的</w:t>
      </w:r>
      <w:r>
        <w:rPr>
          <w:rFonts w:hint="eastAsia" w:ascii="仿宋" w:hAnsi="仿宋" w:eastAsia="仿宋" w:cs="Times New Roman"/>
          <w:sz w:val="32"/>
          <w:szCs w:val="32"/>
          <w:highlight w:val="none"/>
        </w:rPr>
        <w:t>签订、</w:t>
      </w:r>
      <w:r>
        <w:rPr>
          <w:rFonts w:ascii="仿宋" w:hAnsi="仿宋" w:eastAsia="仿宋" w:cs="Times New Roman"/>
          <w:sz w:val="32"/>
          <w:szCs w:val="32"/>
          <w:highlight w:val="none"/>
        </w:rPr>
        <w:t>执行，以我方的名义处理一切与之有关的事宜（相关身份证复印件须附后）。</w:t>
      </w:r>
    </w:p>
    <w:p w14:paraId="0B8FBF83">
      <w:pPr>
        <w:pStyle w:val="22"/>
        <w:spacing w:line="360" w:lineRule="auto"/>
        <w:ind w:firstLine="659"/>
        <w:rPr>
          <w:rFonts w:ascii="仿宋" w:hAnsi="仿宋" w:eastAsia="仿宋" w:cs="Times New Roman"/>
          <w:sz w:val="32"/>
          <w:szCs w:val="32"/>
          <w:highlight w:val="none"/>
        </w:rPr>
      </w:pPr>
    </w:p>
    <w:p w14:paraId="4762D2D9">
      <w:pPr>
        <w:pStyle w:val="22"/>
        <w:spacing w:line="360" w:lineRule="auto"/>
        <w:ind w:firstLine="659"/>
        <w:rPr>
          <w:rFonts w:ascii="仿宋" w:hAnsi="仿宋" w:eastAsia="仿宋" w:cs="Times New Roman"/>
          <w:sz w:val="32"/>
          <w:szCs w:val="32"/>
          <w:highlight w:val="none"/>
        </w:rPr>
      </w:pPr>
      <w:r>
        <w:rPr>
          <w:rFonts w:ascii="仿宋" w:hAnsi="仿宋" w:eastAsia="仿宋" w:cs="Times New Roman"/>
          <w:sz w:val="32"/>
          <w:szCs w:val="32"/>
          <w:highlight w:val="none"/>
        </w:rPr>
        <w:t>本委托书于</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日至</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年</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月</w:t>
      </w:r>
      <w:r>
        <w:rPr>
          <w:rFonts w:ascii="仿宋" w:hAnsi="仿宋" w:eastAsia="仿宋" w:cs="Times New Roman"/>
          <w:sz w:val="32"/>
          <w:szCs w:val="32"/>
          <w:highlight w:val="none"/>
          <w:u w:val="single"/>
        </w:rPr>
        <w:t>　</w:t>
      </w:r>
      <w:r>
        <w:rPr>
          <w:rFonts w:ascii="仿宋" w:hAnsi="仿宋" w:eastAsia="仿宋" w:cs="Times New Roman"/>
          <w:sz w:val="32"/>
          <w:szCs w:val="32"/>
          <w:highlight w:val="none"/>
        </w:rPr>
        <w:t>日签字生效，特此声明。</w:t>
      </w:r>
      <w:r>
        <w:rPr>
          <w:rFonts w:hint="eastAsia" w:ascii="仿宋" w:hAnsi="仿宋" w:eastAsia="仿宋" w:cs="Times New Roman"/>
          <w:sz w:val="32"/>
          <w:szCs w:val="32"/>
          <w:highlight w:val="none"/>
        </w:rPr>
        <w:t>（有效期不得少于</w:t>
      </w:r>
      <w:r>
        <w:rPr>
          <w:rFonts w:ascii="仿宋" w:hAnsi="仿宋" w:eastAsia="仿宋" w:cs="Times New Roman"/>
          <w:sz w:val="32"/>
          <w:szCs w:val="32"/>
          <w:highlight w:val="none"/>
        </w:rPr>
        <w:t>90个日历日）</w:t>
      </w:r>
    </w:p>
    <w:p w14:paraId="5AA7F91F">
      <w:pPr>
        <w:pStyle w:val="22"/>
        <w:spacing w:line="360" w:lineRule="auto"/>
        <w:ind w:firstLine="659"/>
        <w:rPr>
          <w:rFonts w:ascii="仿宋" w:hAnsi="仿宋" w:eastAsia="仿宋" w:cs="Times New Roman"/>
          <w:sz w:val="32"/>
          <w:szCs w:val="32"/>
          <w:highlight w:val="none"/>
        </w:rPr>
      </w:pPr>
    </w:p>
    <w:p w14:paraId="74271D35">
      <w:pPr>
        <w:pStyle w:val="22"/>
        <w:spacing w:line="360" w:lineRule="auto"/>
        <w:ind w:right="160"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名称（加盖公章）：</w:t>
      </w:r>
    </w:p>
    <w:p w14:paraId="1BC5321C">
      <w:pPr>
        <w:pStyle w:val="22"/>
        <w:wordWrap w:val="0"/>
        <w:spacing w:line="360" w:lineRule="auto"/>
        <w:ind w:firstLine="0" w:firstLineChars="0"/>
        <w:rPr>
          <w:rFonts w:ascii="仿宋" w:hAnsi="仿宋" w:eastAsia="仿宋" w:cs="Times New Roman"/>
          <w:sz w:val="32"/>
          <w:szCs w:val="32"/>
          <w:highlight w:val="none"/>
        </w:rPr>
      </w:pPr>
      <w:r>
        <w:rPr>
          <w:rFonts w:hint="eastAsia" w:ascii="仿宋" w:hAnsi="仿宋" w:eastAsia="仿宋" w:cs="Times New Roman"/>
          <w:sz w:val="32"/>
          <w:szCs w:val="32"/>
          <w:highlight w:val="none"/>
          <w:lang w:eastAsia="zh-CN"/>
        </w:rPr>
        <w:t>响应人</w:t>
      </w:r>
      <w:r>
        <w:rPr>
          <w:rFonts w:ascii="仿宋" w:hAnsi="仿宋" w:eastAsia="仿宋" w:cs="Times New Roman"/>
          <w:sz w:val="32"/>
          <w:szCs w:val="32"/>
          <w:highlight w:val="none"/>
        </w:rPr>
        <w:t>地址：</w:t>
      </w:r>
    </w:p>
    <w:p w14:paraId="7E13275C">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法定代表人（签字或盖章）：</w:t>
      </w:r>
    </w:p>
    <w:p w14:paraId="0786BDCB">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77582E76">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受委托人（签字或盖章）：</w:t>
      </w:r>
    </w:p>
    <w:p w14:paraId="5F04B4B3">
      <w:pPr>
        <w:pStyle w:val="22"/>
        <w:wordWrap w:val="0"/>
        <w:spacing w:line="360" w:lineRule="auto"/>
        <w:ind w:firstLine="0" w:firstLineChars="0"/>
        <w:rPr>
          <w:rFonts w:ascii="仿宋" w:hAnsi="仿宋" w:eastAsia="仿宋" w:cs="Times New Roman"/>
          <w:sz w:val="32"/>
          <w:szCs w:val="32"/>
          <w:highlight w:val="none"/>
        </w:rPr>
      </w:pPr>
      <w:r>
        <w:rPr>
          <w:rFonts w:ascii="仿宋" w:hAnsi="仿宋" w:eastAsia="仿宋" w:cs="Times New Roman"/>
          <w:sz w:val="32"/>
          <w:szCs w:val="32"/>
          <w:highlight w:val="none"/>
        </w:rPr>
        <w:t>职务：</w:t>
      </w:r>
    </w:p>
    <w:p w14:paraId="5D1F2BA2">
      <w:pPr>
        <w:pStyle w:val="22"/>
        <w:spacing w:line="360" w:lineRule="auto"/>
        <w:ind w:firstLine="0" w:firstLineChars="0"/>
        <w:rPr>
          <w:highlight w:val="none"/>
        </w:rPr>
      </w:pPr>
      <w:r>
        <w:rPr>
          <w:rFonts w:ascii="仿宋" w:hAnsi="仿宋" w:eastAsia="仿宋" w:cs="Times New Roman"/>
          <w:sz w:val="32"/>
          <w:szCs w:val="32"/>
          <w:highlight w:val="none"/>
        </w:rPr>
        <w:t>日期：</w:t>
      </w:r>
      <w:r>
        <w:rPr>
          <w:rFonts w:hint="eastAsia" w:ascii="仿宋" w:hAnsi="仿宋" w:eastAsia="仿宋" w:cs="Times New Roman"/>
          <w:sz w:val="32"/>
          <w:szCs w:val="32"/>
          <w:highlight w:val="none"/>
          <w:lang w:val="en-US" w:eastAsia="zh-CN"/>
        </w:rPr>
        <w:t xml:space="preserve"> </w:t>
      </w:r>
      <w:r>
        <w:rPr>
          <w:highlight w:val="none"/>
        </w:rPr>
        <w:br w:type="page"/>
      </w:r>
    </w:p>
    <w:p w14:paraId="5AD150E5">
      <w:pPr>
        <w:spacing w:line="360" w:lineRule="auto"/>
        <w:jc w:val="center"/>
        <w:rPr>
          <w:rFonts w:ascii="仿宋" w:hAnsi="仿宋" w:eastAsia="仿宋"/>
          <w:sz w:val="32"/>
          <w:szCs w:val="32"/>
          <w:highlight w:val="none"/>
        </w:rPr>
      </w:pPr>
      <w:r>
        <w:rPr>
          <w:rFonts w:hint="eastAsia" w:ascii="仿宋" w:hAnsi="仿宋" w:eastAsia="仿宋"/>
          <w:b/>
          <w:bCs/>
          <w:sz w:val="32"/>
          <w:szCs w:val="32"/>
          <w:highlight w:val="none"/>
        </w:rPr>
        <w:t>授权委托人</w:t>
      </w:r>
      <w:r>
        <w:rPr>
          <w:rFonts w:ascii="仿宋" w:hAnsi="仿宋" w:eastAsia="仿宋"/>
          <w:b/>
          <w:bCs/>
          <w:sz w:val="32"/>
          <w:szCs w:val="32"/>
          <w:highlight w:val="none"/>
        </w:rPr>
        <w:t>身份证复印件</w:t>
      </w:r>
    </w:p>
    <w:p w14:paraId="433951F5">
      <w:pPr>
        <w:pStyle w:val="22"/>
        <w:spacing w:line="360" w:lineRule="auto"/>
        <w:ind w:firstLine="0" w:firstLineChars="0"/>
        <w:rPr>
          <w:rFonts w:ascii="仿宋" w:hAnsi="仿宋" w:eastAsia="仿宋" w:cs="Times New Roman"/>
          <w:sz w:val="32"/>
          <w:szCs w:val="32"/>
          <w:highlight w:val="none"/>
        </w:rPr>
      </w:pPr>
    </w:p>
    <w:p w14:paraId="495F3B4D">
      <w:pPr>
        <w:widowControl/>
        <w:jc w:val="left"/>
        <w:rPr>
          <w:rFonts w:ascii="仿宋" w:hAnsi="仿宋" w:eastAsia="仿宋"/>
          <w:sz w:val="32"/>
          <w:szCs w:val="32"/>
          <w:highlight w:val="none"/>
        </w:rPr>
      </w:pPr>
      <w:r>
        <w:rPr>
          <w:rFonts w:ascii="仿宋" w:hAnsi="仿宋" w:eastAsia="仿宋"/>
          <w:sz w:val="32"/>
          <w:szCs w:val="32"/>
          <w:highlight w:val="none"/>
        </w:rPr>
        <w:br w:type="page"/>
      </w:r>
    </w:p>
    <w:p w14:paraId="3FDC449D">
      <w:pPr>
        <w:pStyle w:val="29"/>
        <w:numPr>
          <w:ilvl w:val="0"/>
          <w:numId w:val="2"/>
        </w:numPr>
        <w:spacing w:line="360" w:lineRule="auto"/>
        <w:ind w:left="0" w:firstLine="0" w:firstLineChars="0"/>
        <w:jc w:val="left"/>
        <w:outlineLvl w:val="1"/>
        <w:rPr>
          <w:rFonts w:ascii="仿宋" w:hAnsi="仿宋" w:eastAsia="仿宋"/>
          <w:b/>
          <w:bCs/>
          <w:sz w:val="28"/>
          <w:szCs w:val="44"/>
          <w:highlight w:val="none"/>
        </w:rPr>
      </w:pPr>
      <w:bookmarkStart w:id="34" w:name="_Toc28985_WPSOffice_Level1"/>
      <w:bookmarkStart w:id="35" w:name="OLE_LINK11"/>
      <w:r>
        <w:rPr>
          <w:rFonts w:hint="eastAsia" w:ascii="仿宋" w:hAnsi="仿宋" w:eastAsia="仿宋"/>
          <w:b/>
          <w:bCs/>
          <w:sz w:val="28"/>
          <w:szCs w:val="44"/>
          <w:highlight w:val="none"/>
          <w:lang w:eastAsia="zh-CN"/>
        </w:rPr>
        <w:t>响应人</w:t>
      </w:r>
      <w:r>
        <w:rPr>
          <w:rFonts w:hint="eastAsia" w:ascii="仿宋" w:hAnsi="仿宋" w:eastAsia="仿宋"/>
          <w:b/>
          <w:bCs/>
          <w:sz w:val="28"/>
          <w:szCs w:val="44"/>
          <w:highlight w:val="none"/>
        </w:rPr>
        <w:t>未到场声明</w:t>
      </w:r>
      <w:bookmarkEnd w:id="34"/>
    </w:p>
    <w:bookmarkEnd w:id="35"/>
    <w:p w14:paraId="0C52BB00">
      <w:pPr>
        <w:pStyle w:val="29"/>
        <w:ind w:firstLine="0" w:firstLineChars="0"/>
        <w:jc w:val="center"/>
        <w:outlineLvl w:val="1"/>
        <w:rPr>
          <w:rFonts w:eastAsia="仿宋_GB2312"/>
          <w:b/>
          <w:sz w:val="32"/>
          <w:szCs w:val="32"/>
          <w:highlight w:val="none"/>
        </w:rPr>
      </w:pPr>
      <w:bookmarkStart w:id="36" w:name="_Toc7726_WPSOffice_Level2"/>
      <w:r>
        <w:rPr>
          <w:rFonts w:hint="eastAsia" w:ascii="仿宋_GB2312" w:eastAsia="仿宋_GB2312"/>
          <w:b/>
          <w:sz w:val="32"/>
          <w:szCs w:val="32"/>
          <w:highlight w:val="none"/>
          <w:lang w:eastAsia="zh-CN"/>
        </w:rPr>
        <w:t>响应人</w:t>
      </w:r>
      <w:r>
        <w:rPr>
          <w:rFonts w:ascii="仿宋_GB2312" w:eastAsia="仿宋_GB2312"/>
          <w:b/>
          <w:sz w:val="32"/>
          <w:szCs w:val="32"/>
          <w:highlight w:val="none"/>
        </w:rPr>
        <w:t>未到场声明</w:t>
      </w:r>
      <w:bookmarkEnd w:id="36"/>
    </w:p>
    <w:p w14:paraId="11F7AEAD">
      <w:pPr>
        <w:spacing w:line="360" w:lineRule="auto"/>
        <w:rPr>
          <w:rFonts w:eastAsia="仿宋_GB2312"/>
          <w:sz w:val="32"/>
          <w:szCs w:val="32"/>
          <w:highlight w:val="none"/>
        </w:rPr>
      </w:pPr>
      <w:r>
        <w:rPr>
          <w:rFonts w:hint="eastAsia" w:eastAsia="仿宋_GB2312"/>
          <w:sz w:val="32"/>
          <w:szCs w:val="32"/>
          <w:highlight w:val="none"/>
        </w:rPr>
        <w:t>东莞市新东元环保投资有限公司：</w:t>
      </w:r>
    </w:p>
    <w:p w14:paraId="1A3735F0">
      <w:pPr>
        <w:spacing w:line="360" w:lineRule="auto"/>
        <w:ind w:firstLine="640" w:firstLineChars="200"/>
        <w:rPr>
          <w:rFonts w:eastAsia="仿宋_GB2312"/>
          <w:sz w:val="32"/>
          <w:szCs w:val="32"/>
          <w:highlight w:val="none"/>
        </w:rPr>
      </w:pPr>
      <w:r>
        <w:rPr>
          <w:rFonts w:hint="eastAsia" w:eastAsia="仿宋_GB2312"/>
          <w:sz w:val="32"/>
          <w:szCs w:val="32"/>
          <w:highlight w:val="none"/>
        </w:rPr>
        <w:t>我司就参加</w:t>
      </w:r>
      <w:r>
        <w:rPr>
          <w:rFonts w:hint="eastAsia" w:eastAsia="仿宋"/>
          <w:sz w:val="32"/>
          <w:szCs w:val="32"/>
          <w:highlight w:val="none"/>
          <w:lang w:eastAsia="zh-CN"/>
        </w:rPr>
        <w:t>东莞市海心沙资源综合利用中心环保热电厂2026年度氨水及水处理药剂采购项目</w:t>
      </w:r>
      <w:r>
        <w:rPr>
          <w:rFonts w:hint="eastAsia" w:eastAsia="仿宋"/>
          <w:sz w:val="32"/>
          <w:szCs w:val="32"/>
          <w:highlight w:val="none"/>
          <w:lang w:val="en-US" w:eastAsia="zh-CN"/>
        </w:rPr>
        <w:t>___包</w:t>
      </w:r>
      <w:r>
        <w:rPr>
          <w:rFonts w:hint="eastAsia" w:eastAsia="仿宋_GB2312"/>
          <w:sz w:val="32"/>
          <w:szCs w:val="32"/>
          <w:highlight w:val="none"/>
        </w:rPr>
        <w:t>报价工作，作出郑重说明：</w:t>
      </w:r>
    </w:p>
    <w:p w14:paraId="715B95F5">
      <w:pPr>
        <w:spacing w:line="360" w:lineRule="auto"/>
        <w:ind w:firstLine="640" w:firstLineChars="200"/>
        <w:rPr>
          <w:rFonts w:eastAsia="仿宋_GB2312"/>
          <w:sz w:val="32"/>
          <w:szCs w:val="32"/>
          <w:highlight w:val="none"/>
        </w:rPr>
      </w:pPr>
      <w:r>
        <w:rPr>
          <w:rFonts w:hint="eastAsia" w:eastAsia="仿宋_GB2312"/>
          <w:sz w:val="32"/>
          <w:szCs w:val="32"/>
          <w:highlight w:val="none"/>
        </w:rPr>
        <w:t>我司保证</w:t>
      </w:r>
      <w:r>
        <w:rPr>
          <w:rFonts w:hint="eastAsia" w:eastAsia="仿宋_GB2312"/>
          <w:sz w:val="32"/>
          <w:szCs w:val="32"/>
          <w:highlight w:val="none"/>
          <w:lang w:val="en-US" w:eastAsia="zh-CN"/>
        </w:rPr>
        <w:t>报价</w:t>
      </w:r>
      <w:r>
        <w:rPr>
          <w:rFonts w:hint="eastAsia" w:eastAsia="仿宋_GB2312"/>
          <w:sz w:val="32"/>
          <w:szCs w:val="32"/>
          <w:highlight w:val="none"/>
        </w:rPr>
        <w:t>资格审查材料及其后提供的一切材料都是真实的；我司因</w:t>
      </w:r>
      <w:r>
        <w:rPr>
          <w:rFonts w:hint="eastAsia" w:eastAsia="仿宋_GB2312"/>
          <w:sz w:val="32"/>
          <w:szCs w:val="32"/>
          <w:highlight w:val="none"/>
          <w:u w:val="single"/>
          <w:lang w:val="en-US" w:eastAsia="zh-CN"/>
        </w:rPr>
        <w:t xml:space="preserve">          </w:t>
      </w:r>
      <w:r>
        <w:rPr>
          <w:rFonts w:hint="eastAsia" w:eastAsia="仿宋_GB2312"/>
          <w:sz w:val="32"/>
          <w:szCs w:val="32"/>
          <w:highlight w:val="none"/>
          <w:u w:val="single"/>
        </w:rPr>
        <w:t>原因</w:t>
      </w:r>
      <w:r>
        <w:rPr>
          <w:rFonts w:hint="eastAsia" w:eastAsia="仿宋_GB2312"/>
          <w:sz w:val="32"/>
          <w:szCs w:val="32"/>
          <w:highlight w:val="none"/>
        </w:rPr>
        <w:t>情况未能到现场参加开标工作，对开标结果不存在任何异议。</w:t>
      </w:r>
    </w:p>
    <w:p w14:paraId="00DEFB8C">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5E1F3C4F">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3681DA41">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0687CC8B">
      <w:pPr>
        <w:spacing w:line="360" w:lineRule="auto"/>
        <w:ind w:firstLine="640" w:firstLineChars="200"/>
        <w:rPr>
          <w:rFonts w:eastAsia="仿宋_GB2312"/>
          <w:sz w:val="32"/>
          <w:szCs w:val="32"/>
          <w:highlight w:val="none"/>
        </w:rPr>
      </w:pPr>
      <w:r>
        <w:rPr>
          <w:rFonts w:hint="eastAsia" w:eastAsia="仿宋_GB2312"/>
          <w:sz w:val="32"/>
          <w:szCs w:val="32"/>
          <w:highlight w:val="none"/>
        </w:rPr>
        <w:t xml:space="preserve"> </w:t>
      </w:r>
    </w:p>
    <w:p w14:paraId="197ADFD3">
      <w:pPr>
        <w:spacing w:line="360" w:lineRule="auto"/>
        <w:ind w:firstLine="640" w:firstLineChars="200"/>
        <w:rPr>
          <w:rFonts w:eastAsia="仿宋_GB2312"/>
          <w:sz w:val="32"/>
          <w:szCs w:val="32"/>
          <w:highlight w:val="none"/>
        </w:rPr>
      </w:pPr>
      <w:r>
        <w:rPr>
          <w:rFonts w:hint="eastAsia" w:eastAsia="仿宋_GB2312"/>
          <w:sz w:val="32"/>
          <w:szCs w:val="32"/>
          <w:highlight w:val="none"/>
        </w:rPr>
        <w:t>供应商名称（加盖公章）：</w:t>
      </w:r>
    </w:p>
    <w:p w14:paraId="6432DF93">
      <w:pPr>
        <w:spacing w:line="360" w:lineRule="auto"/>
        <w:ind w:firstLine="640" w:firstLineChars="200"/>
        <w:rPr>
          <w:rFonts w:eastAsia="仿宋_GB2312"/>
          <w:sz w:val="32"/>
          <w:szCs w:val="32"/>
          <w:highlight w:val="none"/>
        </w:rPr>
      </w:pPr>
      <w:r>
        <w:rPr>
          <w:rFonts w:hint="eastAsia" w:eastAsia="仿宋_GB2312"/>
          <w:sz w:val="32"/>
          <w:szCs w:val="32"/>
          <w:highlight w:val="none"/>
        </w:rPr>
        <w:t>法定代表人（签字或盖章）：</w:t>
      </w:r>
    </w:p>
    <w:p w14:paraId="1E2538DB">
      <w:pPr>
        <w:spacing w:line="360" w:lineRule="auto"/>
        <w:ind w:firstLine="640" w:firstLineChars="200"/>
        <w:rPr>
          <w:rFonts w:hint="eastAsia" w:eastAsia="仿宋_GB2312"/>
          <w:sz w:val="32"/>
          <w:szCs w:val="32"/>
          <w:highlight w:val="none"/>
        </w:rPr>
      </w:pPr>
      <w:r>
        <w:rPr>
          <w:rFonts w:hint="eastAsia" w:eastAsia="仿宋_GB2312"/>
          <w:sz w:val="32"/>
          <w:szCs w:val="32"/>
          <w:highlight w:val="none"/>
        </w:rPr>
        <w:t>日期：</w:t>
      </w:r>
    </w:p>
    <w:p w14:paraId="7B6AD111">
      <w:pPr>
        <w:rPr>
          <w:rFonts w:hint="eastAsia" w:eastAsia="仿宋_GB2312"/>
          <w:sz w:val="32"/>
          <w:szCs w:val="32"/>
          <w:highlight w:val="none"/>
        </w:rPr>
      </w:pPr>
      <w:r>
        <w:rPr>
          <w:rFonts w:hint="eastAsia" w:eastAsia="仿宋_GB2312"/>
          <w:sz w:val="32"/>
          <w:szCs w:val="32"/>
          <w:highlight w:val="none"/>
        </w:rPr>
        <w:br w:type="page"/>
      </w:r>
    </w:p>
    <w:p w14:paraId="38689909">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响应承诺函</w:t>
      </w:r>
    </w:p>
    <w:p w14:paraId="531173AA">
      <w:pPr>
        <w:pStyle w:val="29"/>
        <w:ind w:firstLine="0" w:firstLineChars="0"/>
        <w:jc w:val="center"/>
        <w:rPr>
          <w:rFonts w:hint="eastAsia" w:eastAsia="仿宋_GB2312"/>
          <w:b/>
          <w:color w:val="000000"/>
          <w:sz w:val="32"/>
          <w:szCs w:val="32"/>
          <w:highlight w:val="none"/>
          <w:lang w:val="en-US" w:eastAsia="zh-CN"/>
        </w:rPr>
      </w:pPr>
      <w:r>
        <w:rPr>
          <w:rFonts w:hint="eastAsia" w:eastAsia="仿宋_GB2312"/>
          <w:b/>
          <w:color w:val="000000"/>
          <w:sz w:val="32"/>
          <w:szCs w:val="32"/>
          <w:highlight w:val="none"/>
          <w:lang w:val="en-US" w:eastAsia="zh-CN"/>
        </w:rPr>
        <w:t>响应</w:t>
      </w:r>
      <w:r>
        <w:rPr>
          <w:rFonts w:hint="eastAsia" w:eastAsia="仿宋_GB2312"/>
          <w:b/>
          <w:color w:val="000000"/>
          <w:sz w:val="32"/>
          <w:szCs w:val="32"/>
          <w:highlight w:val="none"/>
        </w:rPr>
        <w:t>承诺</w:t>
      </w:r>
      <w:r>
        <w:rPr>
          <w:rFonts w:hint="eastAsia" w:eastAsia="仿宋_GB2312"/>
          <w:b/>
          <w:color w:val="000000"/>
          <w:sz w:val="32"/>
          <w:szCs w:val="32"/>
          <w:highlight w:val="none"/>
          <w:lang w:val="en-US" w:eastAsia="zh-CN"/>
        </w:rPr>
        <w:t>函</w:t>
      </w:r>
    </w:p>
    <w:p w14:paraId="63C4F12F">
      <w:pPr>
        <w:rPr>
          <w:rFonts w:eastAsia="仿宋_GB2312"/>
          <w:color w:val="000000"/>
          <w:sz w:val="32"/>
          <w:szCs w:val="32"/>
          <w:highlight w:val="none"/>
        </w:rPr>
      </w:pPr>
      <w:r>
        <w:rPr>
          <w:rFonts w:eastAsia="仿宋_GB2312"/>
          <w:color w:val="000000"/>
          <w:sz w:val="32"/>
          <w:szCs w:val="32"/>
          <w:highlight w:val="none"/>
          <w:u w:val="single"/>
        </w:rPr>
        <w:t xml:space="preserve"> </w:t>
      </w:r>
      <w:r>
        <w:rPr>
          <w:rFonts w:hint="eastAsia" w:eastAsia="仿宋_GB2312"/>
          <w:color w:val="000000"/>
          <w:sz w:val="32"/>
          <w:szCs w:val="32"/>
          <w:highlight w:val="none"/>
          <w:u w:val="single"/>
          <w:lang w:val="en-US" w:eastAsia="zh-CN"/>
        </w:rPr>
        <w:t>东莞市新东元环保投资有限公司</w:t>
      </w:r>
      <w:r>
        <w:rPr>
          <w:rFonts w:hint="eastAsia" w:eastAsia="仿宋_GB2312"/>
          <w:color w:val="000000"/>
          <w:sz w:val="32"/>
          <w:szCs w:val="32"/>
          <w:highlight w:val="none"/>
        </w:rPr>
        <w:t>：</w:t>
      </w:r>
    </w:p>
    <w:p w14:paraId="2C5D01D1">
      <w:pPr>
        <w:pStyle w:val="22"/>
        <w:ind w:firstLine="640" w:firstLineChars="0"/>
        <w:rPr>
          <w:rFonts w:ascii="Times New Roman" w:hAnsi="Times New Roman"/>
          <w:color w:val="000000"/>
          <w:sz w:val="32"/>
          <w:szCs w:val="32"/>
          <w:highlight w:val="none"/>
        </w:rPr>
      </w:pPr>
      <w:r>
        <w:rPr>
          <w:rFonts w:hint="eastAsia" w:ascii="Times New Roman" w:hAnsi="Times New Roman"/>
          <w:color w:val="000000"/>
          <w:sz w:val="32"/>
          <w:szCs w:val="32"/>
          <w:highlight w:val="none"/>
        </w:rPr>
        <w:t>我司就参加</w:t>
      </w:r>
      <w:r>
        <w:rPr>
          <w:rFonts w:hint="eastAsia" w:eastAsia="仿宋"/>
          <w:sz w:val="32"/>
          <w:szCs w:val="32"/>
          <w:highlight w:val="none"/>
          <w:lang w:eastAsia="zh-CN"/>
        </w:rPr>
        <w:t>东莞市海心沙资源综合利用中心环保热电厂2026年度氨水及水处理药剂采购项目</w:t>
      </w:r>
      <w:r>
        <w:rPr>
          <w:rFonts w:hint="eastAsia" w:eastAsia="仿宋"/>
          <w:sz w:val="32"/>
          <w:szCs w:val="32"/>
          <w:highlight w:val="none"/>
          <w:u w:val="single"/>
          <w:lang w:val="en-US" w:eastAsia="zh-CN"/>
        </w:rPr>
        <w:t xml:space="preserve">    </w:t>
      </w:r>
      <w:r>
        <w:rPr>
          <w:rFonts w:hint="eastAsia" w:eastAsia="仿宋"/>
          <w:sz w:val="32"/>
          <w:szCs w:val="32"/>
          <w:highlight w:val="none"/>
          <w:lang w:val="en-US" w:eastAsia="zh-CN"/>
        </w:rPr>
        <w:t>包</w:t>
      </w:r>
      <w:r>
        <w:rPr>
          <w:rFonts w:hint="eastAsia" w:ascii="Times New Roman" w:hAnsi="Times New Roman"/>
          <w:color w:val="000000"/>
          <w:sz w:val="32"/>
          <w:szCs w:val="32"/>
          <w:highlight w:val="none"/>
          <w:u w:val="none"/>
          <w:lang w:val="en-US" w:eastAsia="zh-CN"/>
        </w:rPr>
        <w:t>报价响应</w:t>
      </w:r>
      <w:r>
        <w:rPr>
          <w:rFonts w:hint="eastAsia" w:ascii="Times New Roman" w:hAnsi="Times New Roman"/>
          <w:color w:val="000000"/>
          <w:sz w:val="32"/>
          <w:szCs w:val="32"/>
          <w:highlight w:val="none"/>
        </w:rPr>
        <w:t>，作出以下承诺：</w:t>
      </w:r>
    </w:p>
    <w:p w14:paraId="588ABBAD">
      <w:pPr>
        <w:pStyle w:val="22"/>
        <w:ind w:firstLine="659"/>
        <w:rPr>
          <w:rFonts w:ascii="Times New Roman" w:hAnsi="Times New Roman"/>
          <w:color w:val="000000"/>
          <w:sz w:val="32"/>
          <w:szCs w:val="32"/>
          <w:highlight w:val="none"/>
        </w:rPr>
      </w:pPr>
      <w:r>
        <w:rPr>
          <w:rFonts w:hint="eastAsia" w:ascii="Times New Roman" w:hAnsi="Times New Roman"/>
          <w:color w:val="000000"/>
          <w:sz w:val="32"/>
          <w:szCs w:val="32"/>
          <w:highlight w:val="none"/>
        </w:rPr>
        <w:t>我公司已充分了解采购项目情况，本次报价完全响应询价文件</w:t>
      </w:r>
      <w:r>
        <w:rPr>
          <w:rFonts w:hint="eastAsia" w:ascii="Times New Roman" w:hAnsi="Times New Roman"/>
          <w:color w:val="000000"/>
          <w:sz w:val="32"/>
          <w:szCs w:val="32"/>
          <w:highlight w:val="none"/>
          <w:lang w:val="en-US" w:eastAsia="zh-CN"/>
        </w:rPr>
        <w:t>及其全部附件的所有</w:t>
      </w:r>
      <w:r>
        <w:rPr>
          <w:rFonts w:hint="eastAsia" w:ascii="Times New Roman" w:hAnsi="Times New Roman"/>
          <w:color w:val="000000"/>
          <w:sz w:val="32"/>
          <w:szCs w:val="32"/>
          <w:highlight w:val="none"/>
        </w:rPr>
        <w:t>要求，我公司</w:t>
      </w:r>
      <w:r>
        <w:rPr>
          <w:rFonts w:hint="eastAsia" w:ascii="Times New Roman" w:hAnsi="Times New Roman"/>
          <w:color w:val="000000"/>
          <w:sz w:val="32"/>
          <w:szCs w:val="32"/>
          <w:highlight w:val="none"/>
          <w:lang w:val="en-US" w:eastAsia="zh-CN"/>
        </w:rPr>
        <w:t>本次项目响应</w:t>
      </w:r>
      <w:r>
        <w:rPr>
          <w:rFonts w:hint="eastAsia" w:ascii="Times New Roman" w:hAnsi="Times New Roman"/>
          <w:color w:val="000000"/>
          <w:sz w:val="32"/>
          <w:szCs w:val="32"/>
          <w:highlight w:val="none"/>
        </w:rPr>
        <w:t>等于或优于采购人需求，并承诺如不满足采购人需求，采购人有权取消</w:t>
      </w:r>
      <w:r>
        <w:rPr>
          <w:rFonts w:hint="eastAsia" w:ascii="Times New Roman" w:hAnsi="Times New Roman"/>
          <w:color w:val="000000"/>
          <w:sz w:val="32"/>
          <w:szCs w:val="32"/>
          <w:highlight w:val="none"/>
          <w:lang w:val="en-US" w:eastAsia="zh-CN"/>
        </w:rPr>
        <w:t>我公司成交资格或单方面解除合同</w:t>
      </w:r>
      <w:r>
        <w:rPr>
          <w:rFonts w:hint="eastAsia" w:ascii="Times New Roman" w:hAnsi="Times New Roman"/>
          <w:color w:val="000000"/>
          <w:sz w:val="32"/>
          <w:szCs w:val="32"/>
          <w:highlight w:val="none"/>
        </w:rPr>
        <w:t>。</w:t>
      </w:r>
    </w:p>
    <w:p w14:paraId="4480D070">
      <w:pPr>
        <w:pStyle w:val="22"/>
        <w:ind w:firstLine="659"/>
        <w:rPr>
          <w:rFonts w:ascii="Times New Roman" w:hAnsi="Times New Roman"/>
          <w:color w:val="000000"/>
          <w:sz w:val="32"/>
          <w:szCs w:val="32"/>
          <w:highlight w:val="none"/>
        </w:rPr>
      </w:pPr>
    </w:p>
    <w:p w14:paraId="685EE949">
      <w:pPr>
        <w:jc w:val="left"/>
        <w:rPr>
          <w:rFonts w:eastAsia="仿宋"/>
          <w:color w:val="000000"/>
          <w:sz w:val="32"/>
          <w:szCs w:val="32"/>
          <w:highlight w:val="none"/>
        </w:rPr>
      </w:pPr>
    </w:p>
    <w:p w14:paraId="33F204B7">
      <w:pPr>
        <w:jc w:val="left"/>
        <w:rPr>
          <w:rFonts w:eastAsia="仿宋"/>
          <w:color w:val="000000"/>
          <w:sz w:val="32"/>
          <w:szCs w:val="32"/>
          <w:highlight w:val="none"/>
        </w:rPr>
      </w:pPr>
    </w:p>
    <w:p w14:paraId="32629CD2">
      <w:pPr>
        <w:jc w:val="left"/>
        <w:rPr>
          <w:rFonts w:eastAsia="仿宋"/>
          <w:color w:val="000000"/>
          <w:sz w:val="32"/>
          <w:szCs w:val="32"/>
          <w:highlight w:val="none"/>
        </w:rPr>
      </w:pPr>
    </w:p>
    <w:p w14:paraId="18F190F0">
      <w:pPr>
        <w:pStyle w:val="22"/>
        <w:ind w:right="160"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响应人名称（加盖公章）：</w:t>
      </w:r>
    </w:p>
    <w:p w14:paraId="727AD0FE">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响应人地址：</w:t>
      </w:r>
    </w:p>
    <w:p w14:paraId="50ECDE6F">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法定代表人（签字或盖章）：</w:t>
      </w:r>
    </w:p>
    <w:p w14:paraId="34AB6F50">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职务：</w:t>
      </w:r>
    </w:p>
    <w:p w14:paraId="21734297">
      <w:pPr>
        <w:pStyle w:val="22"/>
        <w:ind w:firstLine="0" w:firstLineChars="0"/>
        <w:jc w:val="left"/>
        <w:rPr>
          <w:rFonts w:ascii="Times New Roman" w:hAnsi="Times New Roman"/>
          <w:color w:val="000000"/>
          <w:sz w:val="32"/>
          <w:szCs w:val="32"/>
          <w:highlight w:val="none"/>
        </w:rPr>
      </w:pPr>
      <w:r>
        <w:rPr>
          <w:rFonts w:hint="eastAsia" w:ascii="Times New Roman" w:hAnsi="Times New Roman"/>
          <w:color w:val="000000"/>
          <w:sz w:val="32"/>
          <w:szCs w:val="32"/>
          <w:highlight w:val="none"/>
        </w:rPr>
        <w:t>日期：</w:t>
      </w:r>
    </w:p>
    <w:p w14:paraId="62FC72E2">
      <w:pPr>
        <w:pStyle w:val="22"/>
        <w:ind w:firstLine="0" w:firstLineChars="0"/>
        <w:jc w:val="left"/>
        <w:rPr>
          <w:rFonts w:ascii="Times New Roman" w:hAnsi="Times New Roman"/>
          <w:color w:val="000000"/>
          <w:sz w:val="32"/>
          <w:szCs w:val="32"/>
          <w:highlight w:val="none"/>
        </w:rPr>
      </w:pPr>
    </w:p>
    <w:p w14:paraId="1D830679">
      <w:pPr>
        <w:rPr>
          <w:rFonts w:ascii="仿宋" w:hAnsi="仿宋" w:eastAsia="仿宋"/>
          <w:sz w:val="32"/>
          <w:szCs w:val="32"/>
          <w:highlight w:val="none"/>
        </w:rPr>
        <w:sectPr>
          <w:pgSz w:w="11906" w:h="16838"/>
          <w:pgMar w:top="1332" w:right="1800" w:bottom="1304" w:left="1800" w:header="851" w:footer="992" w:gutter="0"/>
          <w:cols w:space="720" w:num="1"/>
          <w:docGrid w:type="lines" w:linePitch="312" w:charSpace="0"/>
        </w:sectPr>
      </w:pPr>
    </w:p>
    <w:bookmarkEnd w:id="23"/>
    <w:p w14:paraId="02A9BB82">
      <w:pPr>
        <w:pStyle w:val="29"/>
        <w:numPr>
          <w:ilvl w:val="0"/>
          <w:numId w:val="2"/>
        </w:numPr>
        <w:spacing w:line="360" w:lineRule="auto"/>
        <w:ind w:firstLineChars="0"/>
        <w:outlineLvl w:val="1"/>
        <w:rPr>
          <w:rFonts w:ascii="仿宋" w:hAnsi="仿宋" w:eastAsia="仿宋"/>
          <w:b/>
          <w:bCs/>
          <w:sz w:val="28"/>
          <w:szCs w:val="44"/>
          <w:highlight w:val="none"/>
        </w:rPr>
      </w:pPr>
      <w:r>
        <w:rPr>
          <w:rFonts w:hint="eastAsia" w:ascii="仿宋" w:hAnsi="仿宋" w:eastAsia="仿宋"/>
          <w:b/>
          <w:bCs/>
          <w:sz w:val="28"/>
          <w:szCs w:val="44"/>
          <w:highlight w:val="none"/>
        </w:rPr>
        <w:t>合同模板</w:t>
      </w:r>
    </w:p>
    <w:p w14:paraId="6EE8871B">
      <w:pPr>
        <w:spacing w:line="360" w:lineRule="auto"/>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18667F42">
      <w:pPr>
        <w:spacing w:line="360" w:lineRule="auto"/>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469CFD61">
      <w:pPr>
        <w:spacing w:line="360" w:lineRule="auto"/>
        <w:rPr>
          <w:rFonts w:hint="eastAsia" w:ascii="宋体" w:hAnsi="宋体" w:eastAsia="宋体" w:cs="宋体"/>
          <w:b/>
          <w:bCs/>
          <w:color w:val="auto"/>
          <w:kern w:val="2"/>
          <w:sz w:val="36"/>
          <w:szCs w:val="36"/>
          <w:highlight w:val="none"/>
        </w:rPr>
      </w:pPr>
    </w:p>
    <w:p w14:paraId="61A4E9D4">
      <w:pPr>
        <w:snapToGrid w:val="0"/>
        <w:spacing w:line="360" w:lineRule="auto"/>
        <w:jc w:val="center"/>
        <w:rPr>
          <w:rFonts w:hint="eastAsia" w:ascii="宋体" w:hAnsi="宋体" w:eastAsia="宋体" w:cs="宋体"/>
          <w:color w:val="auto"/>
          <w:kern w:val="2"/>
          <w:sz w:val="21"/>
          <w:szCs w:val="24"/>
          <w:highlight w:val="none"/>
        </w:rPr>
      </w:pPr>
    </w:p>
    <w:p w14:paraId="182D7546">
      <w:pPr>
        <w:snapToGrid w:val="0"/>
        <w:spacing w:line="360" w:lineRule="auto"/>
        <w:jc w:val="center"/>
        <w:rPr>
          <w:rFonts w:hint="eastAsia" w:ascii="宋体" w:hAnsi="宋体" w:eastAsia="宋体" w:cs="宋体"/>
          <w:bCs/>
          <w:color w:val="auto"/>
          <w:kern w:val="2"/>
          <w:sz w:val="48"/>
          <w:szCs w:val="48"/>
          <w:highlight w:val="none"/>
        </w:rPr>
      </w:pPr>
    </w:p>
    <w:p w14:paraId="6EA0E241">
      <w:pPr>
        <w:spacing w:after="120" w:line="360" w:lineRule="auto"/>
        <w:rPr>
          <w:rFonts w:hint="eastAsia" w:ascii="宋体" w:hAnsi="宋体" w:eastAsia="宋体" w:cs="宋体"/>
          <w:color w:val="auto"/>
          <w:kern w:val="2"/>
          <w:sz w:val="21"/>
          <w:szCs w:val="24"/>
          <w:highlight w:val="none"/>
        </w:rPr>
      </w:pPr>
    </w:p>
    <w:p w14:paraId="0FD81A27">
      <w:pPr>
        <w:spacing w:after="120" w:line="360" w:lineRule="auto"/>
        <w:rPr>
          <w:rFonts w:hint="eastAsia" w:ascii="宋体" w:hAnsi="宋体" w:eastAsia="宋体" w:cs="宋体"/>
          <w:color w:val="auto"/>
          <w:kern w:val="2"/>
          <w:sz w:val="21"/>
          <w:szCs w:val="24"/>
          <w:highlight w:val="none"/>
        </w:rPr>
      </w:pPr>
    </w:p>
    <w:p w14:paraId="02156104">
      <w:pPr>
        <w:snapToGrid w:val="0"/>
        <w:spacing w:line="360" w:lineRule="auto"/>
        <w:jc w:val="center"/>
        <w:outlineLvl w:val="1"/>
        <w:rPr>
          <w:rFonts w:hint="eastAsia" w:ascii="宋体" w:hAnsi="宋体" w:eastAsia="宋体" w:cs="宋体"/>
          <w:bCs/>
          <w:color w:val="auto"/>
          <w:kern w:val="2"/>
          <w:sz w:val="48"/>
          <w:szCs w:val="48"/>
          <w:highlight w:val="none"/>
        </w:rPr>
      </w:pPr>
      <w:bookmarkStart w:id="37" w:name="_Toc27770"/>
      <w:r>
        <w:rPr>
          <w:rFonts w:hint="eastAsia" w:ascii="宋体" w:hAnsi="宋体" w:eastAsia="宋体" w:cs="宋体"/>
          <w:bCs/>
          <w:color w:val="auto"/>
          <w:kern w:val="2"/>
          <w:sz w:val="48"/>
          <w:szCs w:val="48"/>
          <w:highlight w:val="none"/>
        </w:rPr>
        <w:t>东莞市海心沙资源综合利用中心环保热电厂氨水采购合同</w:t>
      </w:r>
      <w:bookmarkEnd w:id="37"/>
    </w:p>
    <w:p w14:paraId="4FABEDB6">
      <w:pPr>
        <w:snapToGrid w:val="0"/>
        <w:spacing w:line="360" w:lineRule="auto"/>
        <w:ind w:firstLine="420" w:firstLineChars="200"/>
        <w:rPr>
          <w:rFonts w:hint="eastAsia" w:ascii="宋体" w:hAnsi="宋体" w:eastAsia="宋体" w:cs="宋体"/>
          <w:color w:val="auto"/>
          <w:kern w:val="2"/>
          <w:sz w:val="21"/>
          <w:szCs w:val="24"/>
          <w:highlight w:val="none"/>
        </w:rPr>
      </w:pPr>
    </w:p>
    <w:p w14:paraId="4116A5BE">
      <w:pPr>
        <w:snapToGrid w:val="0"/>
        <w:spacing w:line="360" w:lineRule="auto"/>
        <w:ind w:firstLine="420" w:firstLineChars="200"/>
        <w:rPr>
          <w:rFonts w:hint="eastAsia" w:ascii="宋体" w:hAnsi="宋体" w:eastAsia="宋体" w:cs="宋体"/>
          <w:color w:val="auto"/>
          <w:kern w:val="2"/>
          <w:sz w:val="21"/>
          <w:szCs w:val="24"/>
          <w:highlight w:val="none"/>
        </w:rPr>
      </w:pPr>
    </w:p>
    <w:p w14:paraId="0D9CB623">
      <w:pPr>
        <w:snapToGrid w:val="0"/>
        <w:spacing w:line="360" w:lineRule="auto"/>
        <w:ind w:firstLine="420" w:firstLineChars="200"/>
        <w:rPr>
          <w:rFonts w:hint="eastAsia" w:ascii="宋体" w:hAnsi="宋体" w:eastAsia="宋体" w:cs="宋体"/>
          <w:color w:val="auto"/>
          <w:kern w:val="2"/>
          <w:sz w:val="21"/>
          <w:szCs w:val="24"/>
          <w:highlight w:val="none"/>
        </w:rPr>
      </w:pPr>
    </w:p>
    <w:p w14:paraId="24778FC0">
      <w:pPr>
        <w:snapToGrid w:val="0"/>
        <w:spacing w:line="360" w:lineRule="auto"/>
        <w:ind w:firstLine="420" w:firstLineChars="200"/>
        <w:rPr>
          <w:rFonts w:hint="eastAsia" w:ascii="宋体" w:hAnsi="宋体" w:eastAsia="宋体" w:cs="宋体"/>
          <w:color w:val="auto"/>
          <w:kern w:val="2"/>
          <w:sz w:val="21"/>
          <w:szCs w:val="24"/>
          <w:highlight w:val="none"/>
        </w:rPr>
      </w:pPr>
    </w:p>
    <w:p w14:paraId="65F6C3C4">
      <w:pPr>
        <w:snapToGrid w:val="0"/>
        <w:spacing w:line="360" w:lineRule="auto"/>
        <w:ind w:firstLine="420" w:firstLineChars="200"/>
        <w:rPr>
          <w:rFonts w:hint="eastAsia" w:ascii="宋体" w:hAnsi="宋体" w:eastAsia="宋体" w:cs="宋体"/>
          <w:color w:val="auto"/>
          <w:kern w:val="2"/>
          <w:sz w:val="21"/>
          <w:szCs w:val="24"/>
          <w:highlight w:val="none"/>
        </w:rPr>
      </w:pPr>
    </w:p>
    <w:p w14:paraId="7CA04C03">
      <w:pPr>
        <w:snapToGrid w:val="0"/>
        <w:spacing w:line="360" w:lineRule="auto"/>
        <w:ind w:firstLine="420" w:firstLineChars="200"/>
        <w:rPr>
          <w:rFonts w:hint="eastAsia" w:ascii="宋体" w:hAnsi="宋体" w:eastAsia="宋体" w:cs="宋体"/>
          <w:color w:val="auto"/>
          <w:kern w:val="2"/>
          <w:sz w:val="21"/>
          <w:szCs w:val="24"/>
          <w:highlight w:val="none"/>
        </w:rPr>
      </w:pPr>
    </w:p>
    <w:p w14:paraId="0B8DB20F">
      <w:pPr>
        <w:snapToGrid w:val="0"/>
        <w:spacing w:line="360" w:lineRule="auto"/>
        <w:ind w:firstLine="420" w:firstLineChars="200"/>
        <w:rPr>
          <w:rFonts w:hint="eastAsia" w:ascii="宋体" w:hAnsi="宋体" w:eastAsia="宋体" w:cs="宋体"/>
          <w:color w:val="auto"/>
          <w:kern w:val="2"/>
          <w:sz w:val="21"/>
          <w:szCs w:val="24"/>
          <w:highlight w:val="none"/>
        </w:rPr>
      </w:pPr>
    </w:p>
    <w:p w14:paraId="01937C33">
      <w:pPr>
        <w:snapToGrid w:val="0"/>
        <w:spacing w:line="360" w:lineRule="auto"/>
        <w:ind w:firstLine="420" w:firstLineChars="200"/>
        <w:rPr>
          <w:rFonts w:hint="eastAsia" w:ascii="宋体" w:hAnsi="宋体" w:eastAsia="宋体" w:cs="宋体"/>
          <w:color w:val="auto"/>
          <w:kern w:val="2"/>
          <w:sz w:val="21"/>
          <w:szCs w:val="24"/>
          <w:highlight w:val="none"/>
        </w:rPr>
      </w:pPr>
    </w:p>
    <w:p w14:paraId="49F6364F">
      <w:pPr>
        <w:snapToGrid w:val="0"/>
        <w:spacing w:line="360" w:lineRule="auto"/>
        <w:rPr>
          <w:rFonts w:hint="eastAsia" w:ascii="宋体" w:hAnsi="宋体" w:eastAsia="宋体" w:cs="宋体"/>
          <w:color w:val="auto"/>
          <w:kern w:val="2"/>
          <w:sz w:val="21"/>
          <w:szCs w:val="24"/>
          <w:highlight w:val="none"/>
        </w:rPr>
      </w:pPr>
    </w:p>
    <w:p w14:paraId="28CBE2E0">
      <w:pPr>
        <w:snapToGrid w:val="0"/>
        <w:spacing w:line="360" w:lineRule="auto"/>
        <w:ind w:firstLine="640" w:firstLineChars="200"/>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25803CAD">
      <w:pPr>
        <w:snapToGrid w:val="0"/>
        <w:spacing w:line="360" w:lineRule="auto"/>
        <w:ind w:firstLine="640" w:firstLineChars="200"/>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63E00B73">
      <w:pPr>
        <w:snapToGrid w:val="0"/>
        <w:spacing w:line="360" w:lineRule="auto"/>
        <w:ind w:firstLine="640" w:firstLineChars="200"/>
        <w:rPr>
          <w:rFonts w:hint="eastAsia" w:ascii="宋体" w:hAnsi="宋体" w:eastAsia="宋体" w:cs="宋体"/>
          <w:color w:val="auto"/>
          <w:kern w:val="2"/>
          <w:sz w:val="32"/>
          <w:szCs w:val="32"/>
          <w:highlight w:val="none"/>
          <w:u w:val="single"/>
        </w:rPr>
      </w:pPr>
    </w:p>
    <w:p w14:paraId="33AEA123">
      <w:pPr>
        <w:spacing w:line="500" w:lineRule="exact"/>
        <w:jc w:val="center"/>
        <w:rPr>
          <w:rFonts w:hint="eastAsia" w:ascii="宋体" w:hAnsi="宋体" w:eastAsia="宋体" w:cs="宋体"/>
          <w:color w:val="auto"/>
          <w:kern w:val="2"/>
          <w:sz w:val="28"/>
          <w:szCs w:val="28"/>
          <w:highlight w:val="none"/>
        </w:rPr>
      </w:pPr>
      <w:r>
        <w:rPr>
          <w:rFonts w:hint="eastAsia" w:ascii="宋体" w:hAnsi="宋体" w:eastAsia="宋体" w:cs="宋体"/>
          <w:color w:val="auto"/>
          <w:kern w:val="2"/>
          <w:sz w:val="32"/>
          <w:szCs w:val="32"/>
          <w:highlight w:val="none"/>
        </w:rPr>
        <w:t>二○二  年  月  日</w:t>
      </w:r>
    </w:p>
    <w:p w14:paraId="3ADE21D8">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br w:type="page"/>
      </w:r>
    </w:p>
    <w:p w14:paraId="31F51EEB">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2"/>
          <w:szCs w:val="22"/>
          <w:highlight w:val="none"/>
        </w:rPr>
        <w:t>甲方（买方）：</w:t>
      </w:r>
    </w:p>
    <w:p w14:paraId="0D5F4CC0">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203A7B82">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67AA54AE">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75F9B8DD">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0037187F">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 xml:space="preserve">乙方（卖方）：  </w:t>
      </w:r>
    </w:p>
    <w:p w14:paraId="6BFBCAB5">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197C4AB3">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1C81FFBD">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655347F6">
      <w:pPr>
        <w:widowControl w:val="0"/>
        <w:adjustRightInd w:val="0"/>
        <w:snapToGrid w:val="0"/>
        <w:spacing w:line="400" w:lineRule="exact"/>
        <w:jc w:val="both"/>
        <w:rPr>
          <w:rFonts w:hint="eastAsia" w:ascii="宋体" w:hAnsi="宋体" w:eastAsia="宋体" w:cs="宋体"/>
          <w:color w:val="auto"/>
          <w:kern w:val="2"/>
          <w:sz w:val="22"/>
          <w:szCs w:val="22"/>
          <w:highlight w:val="none"/>
        </w:rPr>
      </w:pPr>
    </w:p>
    <w:p w14:paraId="33E9C92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6494EEF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0199BE60">
      <w:pPr>
        <w:widowControl w:val="0"/>
        <w:adjustRightInd w:val="0"/>
        <w:snapToGrid w:val="0"/>
        <w:spacing w:line="400" w:lineRule="exact"/>
        <w:ind w:left="422"/>
        <w:jc w:val="both"/>
        <w:outlineLvl w:val="1"/>
        <w:rPr>
          <w:rFonts w:hint="eastAsia" w:ascii="宋体" w:hAnsi="宋体" w:eastAsia="宋体" w:cs="宋体"/>
          <w:b/>
          <w:color w:val="auto"/>
          <w:kern w:val="2"/>
          <w:sz w:val="22"/>
          <w:szCs w:val="22"/>
          <w:highlight w:val="none"/>
        </w:rPr>
      </w:pPr>
      <w:bookmarkStart w:id="38" w:name="_Toc17561"/>
      <w:r>
        <w:rPr>
          <w:rFonts w:hint="eastAsia" w:ascii="宋体" w:hAnsi="宋体" w:eastAsia="宋体" w:cs="宋体"/>
          <w:b/>
          <w:color w:val="auto"/>
          <w:kern w:val="2"/>
          <w:sz w:val="22"/>
          <w:szCs w:val="22"/>
          <w:highlight w:val="none"/>
        </w:rPr>
        <w:t>第一条 采购货物清单及合同价款</w:t>
      </w:r>
      <w:bookmarkEnd w:id="38"/>
    </w:p>
    <w:p w14:paraId="4D8A3A1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1、定价</w:t>
      </w:r>
    </w:p>
    <w:p w14:paraId="264533E8">
      <w:pPr>
        <w:widowControl w:val="0"/>
        <w:suppressLineNumbers/>
        <w:suppressAutoHyphens/>
        <w:wordWrap w:val="0"/>
        <w:topLinePunct/>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bookmarkStart w:id="39" w:name="_Hlk85190412"/>
      <w:r>
        <w:rPr>
          <w:rFonts w:hint="eastAsia" w:ascii="宋体" w:hAnsi="宋体" w:eastAsia="宋体" w:cs="宋体"/>
          <w:color w:val="auto"/>
          <w:kern w:val="2"/>
          <w:sz w:val="22"/>
          <w:szCs w:val="22"/>
          <w:highlight w:val="none"/>
        </w:rPr>
        <w:t>合同有效期内，原材料市场价格涨跌幅度超过10%的（原材料价格以卓创网（http：//www.sci99.com/）的原材料巴陵石化99.6-99.9%液氨月平均价格为参考依据），双方均可提出调价申请，双方一致书面确认后的调整后的价格，在下月执行。</w:t>
      </w:r>
    </w:p>
    <w:p w14:paraId="1D01DF86">
      <w:pPr>
        <w:widowControl w:val="0"/>
        <w:suppressLineNumbers/>
        <w:suppressAutoHyphens/>
        <w:wordWrap w:val="0"/>
        <w:topLinePunct/>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乙方需调价时，必须提前30天以书面的形式通知甲方，征得甲方同意后方可生效，当满足价格下调条件时，甲方书面通知乙方调价后生效，下月执行）。</w:t>
      </w:r>
    </w:p>
    <w:p w14:paraId="458E9A24">
      <w:pPr>
        <w:widowControl w:val="0"/>
        <w:suppressLineNumbers/>
        <w:suppressAutoHyphens/>
        <w:wordWrap w:val="0"/>
        <w:topLinePunct/>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变动价格的计算方式：基准价±巴陵石化99.6-99.9%液氨当月平均价格×20%×巴陵石化99.6-99.9%液氨当月平均价格波动比例。（基准价为中标价）</w:t>
      </w:r>
    </w:p>
    <w:p w14:paraId="27F6CE22">
      <w:pPr>
        <w:widowControl w:val="0"/>
        <w:suppressLineNumbers/>
        <w:suppressAutoHyphens/>
        <w:wordWrap w:val="0"/>
        <w:topLinePunct/>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巴陵石化99.6-99.9%液氨当月平均价格波动比例=（当月平均价-基准月平均价）/基准月平均价×100%（注：本次合同以卓创网上巴陵石化99.6-99.9%液氨202</w:t>
      </w:r>
      <w:r>
        <w:rPr>
          <w:rFonts w:hint="eastAsia" w:ascii="宋体" w:hAnsi="宋体" w:cs="宋体"/>
          <w:color w:val="auto"/>
          <w:kern w:val="2"/>
          <w:sz w:val="22"/>
          <w:szCs w:val="22"/>
          <w:highlight w:val="none"/>
          <w:lang w:val="en-US" w:eastAsia="zh-CN"/>
        </w:rPr>
        <w:t>5</w:t>
      </w:r>
      <w:r>
        <w:rPr>
          <w:rFonts w:hint="eastAsia" w:ascii="宋体" w:hAnsi="宋体" w:eastAsia="宋体" w:cs="宋体"/>
          <w:color w:val="auto"/>
          <w:kern w:val="2"/>
          <w:sz w:val="22"/>
          <w:szCs w:val="22"/>
          <w:highlight w:val="none"/>
        </w:rPr>
        <w:t>年1</w:t>
      </w:r>
      <w:r>
        <w:rPr>
          <w:rFonts w:hint="eastAsia" w:ascii="宋体" w:hAnsi="宋体" w:cs="宋体"/>
          <w:color w:val="auto"/>
          <w:kern w:val="2"/>
          <w:sz w:val="22"/>
          <w:szCs w:val="22"/>
          <w:highlight w:val="none"/>
          <w:lang w:val="en-US" w:eastAsia="zh-CN"/>
        </w:rPr>
        <w:t>2</w:t>
      </w:r>
      <w:r>
        <w:rPr>
          <w:rFonts w:hint="eastAsia" w:ascii="宋体" w:hAnsi="宋体" w:eastAsia="宋体" w:cs="宋体"/>
          <w:color w:val="auto"/>
          <w:kern w:val="2"/>
          <w:sz w:val="22"/>
          <w:szCs w:val="22"/>
          <w:highlight w:val="none"/>
        </w:rPr>
        <w:t>月平均价格为月基准平均价，当月平均价为卓创网上巴陵石化99.6-99.9%液氨的当月均价）。</w:t>
      </w:r>
    </w:p>
    <w:bookmarkEnd w:id="39"/>
    <w:tbl>
      <w:tblPr>
        <w:tblStyle w:val="1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626"/>
        <w:gridCol w:w="1052"/>
        <w:gridCol w:w="1359"/>
      </w:tblGrid>
      <w:tr w14:paraId="088AF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79" w:type="dxa"/>
            <w:noWrap w:val="0"/>
            <w:vAlign w:val="center"/>
          </w:tcPr>
          <w:p w14:paraId="1C3BFC6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0"/>
            <w:vAlign w:val="center"/>
          </w:tcPr>
          <w:p w14:paraId="1F76DDC2">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0"/>
            <w:vAlign w:val="center"/>
          </w:tcPr>
          <w:p w14:paraId="1460DFF5">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0"/>
            <w:vAlign w:val="center"/>
          </w:tcPr>
          <w:p w14:paraId="2D24E8D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244A52BA">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0"/>
            <w:vAlign w:val="center"/>
          </w:tcPr>
          <w:p w14:paraId="2B9EB026">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计划数量</w:t>
            </w:r>
          </w:p>
        </w:tc>
        <w:tc>
          <w:tcPr>
            <w:tcW w:w="1626" w:type="dxa"/>
            <w:noWrap w:val="0"/>
            <w:vAlign w:val="center"/>
          </w:tcPr>
          <w:p w14:paraId="4D7F5C5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23586AEC">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052" w:type="dxa"/>
            <w:noWrap w:val="0"/>
            <w:vAlign w:val="center"/>
          </w:tcPr>
          <w:p w14:paraId="6695040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14803AE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0"/>
            <w:vAlign w:val="center"/>
          </w:tcPr>
          <w:p w14:paraId="1AC5B923">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62430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679" w:type="dxa"/>
            <w:noWrap w:val="0"/>
            <w:vAlign w:val="center"/>
          </w:tcPr>
          <w:p w14:paraId="738A4EA0">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w:t>
            </w:r>
          </w:p>
        </w:tc>
        <w:tc>
          <w:tcPr>
            <w:tcW w:w="1125" w:type="dxa"/>
            <w:noWrap w:val="0"/>
            <w:vAlign w:val="center"/>
          </w:tcPr>
          <w:p w14:paraId="515D6313">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氨水</w:t>
            </w:r>
          </w:p>
        </w:tc>
        <w:tc>
          <w:tcPr>
            <w:tcW w:w="1382" w:type="dxa"/>
            <w:noWrap w:val="0"/>
            <w:vAlign w:val="center"/>
          </w:tcPr>
          <w:p w14:paraId="18258EBE">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0"/>
            <w:vAlign w:val="center"/>
          </w:tcPr>
          <w:p w14:paraId="6EF8EA30">
            <w:pPr>
              <w:widowControl w:val="0"/>
              <w:adjustRightInd w:val="0"/>
              <w:snapToGrid w:val="0"/>
              <w:spacing w:line="400" w:lineRule="exact"/>
              <w:jc w:val="center"/>
              <w:rPr>
                <w:rFonts w:hint="eastAsia"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吨</w:t>
            </w:r>
          </w:p>
        </w:tc>
        <w:tc>
          <w:tcPr>
            <w:tcW w:w="796" w:type="dxa"/>
            <w:noWrap w:val="0"/>
            <w:vAlign w:val="center"/>
          </w:tcPr>
          <w:p w14:paraId="41851625">
            <w:pPr>
              <w:widowControl w:val="0"/>
              <w:adjustRightInd w:val="0"/>
              <w:snapToGrid w:val="0"/>
              <w:spacing w:line="400" w:lineRule="exact"/>
              <w:jc w:val="center"/>
              <w:rPr>
                <w:rFonts w:hint="default" w:ascii="宋体" w:hAnsi="宋体" w:eastAsia="宋体" w:cs="宋体"/>
                <w:color w:val="auto"/>
                <w:sz w:val="22"/>
                <w:szCs w:val="20"/>
                <w:highlight w:val="none"/>
                <w:lang w:val="en-US" w:eastAsia="zh-CN"/>
              </w:rPr>
            </w:pPr>
            <w:r>
              <w:rPr>
                <w:rFonts w:hint="eastAsia" w:ascii="宋体" w:hAnsi="宋体" w:cs="宋体"/>
                <w:color w:val="auto"/>
                <w:sz w:val="22"/>
                <w:szCs w:val="20"/>
                <w:highlight w:val="none"/>
                <w:lang w:val="en-US" w:eastAsia="zh-CN"/>
              </w:rPr>
              <w:t>约1800</w:t>
            </w:r>
          </w:p>
        </w:tc>
        <w:tc>
          <w:tcPr>
            <w:tcW w:w="1626" w:type="dxa"/>
            <w:noWrap w:val="0"/>
            <w:vAlign w:val="center"/>
          </w:tcPr>
          <w:p w14:paraId="59F86F08">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052" w:type="dxa"/>
            <w:noWrap w:val="0"/>
            <w:vAlign w:val="center"/>
          </w:tcPr>
          <w:p w14:paraId="04ADE5C3">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0"/>
            <w:vAlign w:val="center"/>
          </w:tcPr>
          <w:p w14:paraId="3FF6A743">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6FF00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8" w:hRule="atLeast"/>
          <w:jc w:val="center"/>
        </w:trPr>
        <w:tc>
          <w:tcPr>
            <w:tcW w:w="9131" w:type="dxa"/>
            <w:gridSpan w:val="8"/>
            <w:noWrap w:val="0"/>
            <w:vAlign w:val="center"/>
          </w:tcPr>
          <w:p w14:paraId="758E3102">
            <w:pPr>
              <w:widowControl w:val="0"/>
              <w:adjustRightInd w:val="0"/>
              <w:snapToGrid w:val="0"/>
              <w:spacing w:line="400" w:lineRule="exact"/>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0893AF20">
            <w:pPr>
              <w:widowControl w:val="0"/>
              <w:adjustRightInd w:val="0"/>
              <w:snapToGrid w:val="0"/>
              <w:spacing w:line="400" w:lineRule="exact"/>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78B6375D">
            <w:pPr>
              <w:widowControl w:val="0"/>
              <w:adjustRightInd w:val="0"/>
              <w:snapToGrid w:val="0"/>
              <w:spacing w:line="400" w:lineRule="exact"/>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6B45323F">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16B15911">
      <w:pPr>
        <w:widowControl w:val="0"/>
        <w:adjustRightInd w:val="0"/>
        <w:snapToGrid w:val="0"/>
        <w:spacing w:line="400" w:lineRule="exact"/>
        <w:ind w:firstLine="442" w:firstLineChars="200"/>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质量标准及考核：货物的质量标准和性能应当同时满足下列要求：</w:t>
      </w:r>
    </w:p>
    <w:p w14:paraId="1C83891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1、双方约定的标准：以《氨水采购技术需求书》约定为准。</w:t>
      </w:r>
    </w:p>
    <w:p w14:paraId="676B218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2、氨水技术参数需求</w:t>
      </w:r>
    </w:p>
    <w:tbl>
      <w:tblPr>
        <w:tblStyle w:val="16"/>
        <w:tblW w:w="47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92"/>
        <w:gridCol w:w="3913"/>
        <w:gridCol w:w="1441"/>
      </w:tblGrid>
      <w:tr w14:paraId="4E4AF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06105513">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指标名称</w:t>
            </w:r>
          </w:p>
        </w:tc>
        <w:tc>
          <w:tcPr>
            <w:tcW w:w="2431" w:type="pct"/>
            <w:noWrap w:val="0"/>
            <w:vAlign w:val="center"/>
          </w:tcPr>
          <w:p w14:paraId="7ABC3AF9">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指标值</w:t>
            </w:r>
          </w:p>
        </w:tc>
        <w:tc>
          <w:tcPr>
            <w:tcW w:w="895" w:type="pct"/>
            <w:noWrap w:val="0"/>
            <w:vAlign w:val="center"/>
          </w:tcPr>
          <w:p w14:paraId="6E650122">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检测标准</w:t>
            </w:r>
          </w:p>
        </w:tc>
      </w:tr>
      <w:tr w14:paraId="29607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0A35368C">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外观</w:t>
            </w:r>
          </w:p>
        </w:tc>
        <w:tc>
          <w:tcPr>
            <w:tcW w:w="2431" w:type="pct"/>
            <w:noWrap w:val="0"/>
            <w:vAlign w:val="center"/>
          </w:tcPr>
          <w:p w14:paraId="7E16FC4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无色透明</w:t>
            </w:r>
          </w:p>
        </w:tc>
        <w:tc>
          <w:tcPr>
            <w:tcW w:w="895" w:type="pct"/>
            <w:vMerge w:val="restart"/>
            <w:noWrap w:val="0"/>
            <w:vAlign w:val="center"/>
          </w:tcPr>
          <w:p w14:paraId="66C46A68">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GB/T 631-2007</w:t>
            </w:r>
          </w:p>
        </w:tc>
      </w:tr>
      <w:tr w14:paraId="74B45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7E8691ED">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色度</w:t>
            </w:r>
          </w:p>
        </w:tc>
        <w:tc>
          <w:tcPr>
            <w:tcW w:w="2431" w:type="pct"/>
            <w:noWrap w:val="0"/>
            <w:vAlign w:val="center"/>
          </w:tcPr>
          <w:p w14:paraId="3037409B">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≤80</w:t>
            </w:r>
          </w:p>
        </w:tc>
        <w:tc>
          <w:tcPr>
            <w:tcW w:w="895" w:type="pct"/>
            <w:vMerge w:val="continue"/>
            <w:noWrap w:val="0"/>
            <w:vAlign w:val="center"/>
          </w:tcPr>
          <w:p w14:paraId="78D1CC0F">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23E68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0C99A719">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NH3质量百分含量</w:t>
            </w:r>
          </w:p>
        </w:tc>
        <w:tc>
          <w:tcPr>
            <w:tcW w:w="2431" w:type="pct"/>
            <w:noWrap w:val="0"/>
            <w:vAlign w:val="center"/>
          </w:tcPr>
          <w:p w14:paraId="639F5DED">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≥20%</w:t>
            </w:r>
          </w:p>
        </w:tc>
        <w:tc>
          <w:tcPr>
            <w:tcW w:w="895" w:type="pct"/>
            <w:vMerge w:val="continue"/>
            <w:noWrap w:val="0"/>
            <w:vAlign w:val="center"/>
          </w:tcPr>
          <w:p w14:paraId="4CE10413">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4625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1E90A3FF">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残渣含量</w:t>
            </w:r>
          </w:p>
        </w:tc>
        <w:tc>
          <w:tcPr>
            <w:tcW w:w="2431" w:type="pct"/>
            <w:noWrap w:val="0"/>
            <w:vAlign w:val="center"/>
          </w:tcPr>
          <w:p w14:paraId="5B2F28AE">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≤0.3g/l</w:t>
            </w:r>
          </w:p>
        </w:tc>
        <w:tc>
          <w:tcPr>
            <w:tcW w:w="895" w:type="pct"/>
            <w:vMerge w:val="continue"/>
            <w:noWrap w:val="0"/>
            <w:vAlign w:val="center"/>
          </w:tcPr>
          <w:p w14:paraId="43F8A992">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561B3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2" w:type="pct"/>
            <w:noWrap w:val="0"/>
            <w:vAlign w:val="center"/>
          </w:tcPr>
          <w:p w14:paraId="6500C5DB">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硬度</w:t>
            </w:r>
          </w:p>
        </w:tc>
        <w:tc>
          <w:tcPr>
            <w:tcW w:w="2431" w:type="pct"/>
            <w:noWrap w:val="0"/>
            <w:vAlign w:val="center"/>
          </w:tcPr>
          <w:p w14:paraId="53070B4D">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≤5mmol/L</w:t>
            </w:r>
          </w:p>
        </w:tc>
        <w:tc>
          <w:tcPr>
            <w:tcW w:w="895" w:type="pct"/>
            <w:vMerge w:val="continue"/>
            <w:noWrap w:val="0"/>
            <w:vAlign w:val="center"/>
          </w:tcPr>
          <w:p w14:paraId="3E8EE575">
            <w:pPr>
              <w:widowControl w:val="0"/>
              <w:adjustRightInd w:val="0"/>
              <w:snapToGrid w:val="0"/>
              <w:spacing w:line="400" w:lineRule="exact"/>
              <w:jc w:val="center"/>
              <w:rPr>
                <w:rFonts w:hint="eastAsia" w:ascii="宋体" w:hAnsi="宋体" w:eastAsia="宋体" w:cs="宋体"/>
                <w:color w:val="auto"/>
                <w:sz w:val="22"/>
                <w:szCs w:val="20"/>
                <w:highlight w:val="none"/>
              </w:rPr>
            </w:pPr>
          </w:p>
        </w:tc>
      </w:tr>
    </w:tbl>
    <w:p w14:paraId="07331EE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3、与双方确认的样品的质量相同。</w:t>
      </w:r>
    </w:p>
    <w:p w14:paraId="300978C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4、国家标准、行业标准、地方标准、厂家标准中的最高标准。</w:t>
      </w:r>
    </w:p>
    <w:p w14:paraId="57CC1F9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25CC4C8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6、甲方按考核评分表（附件1）对乙方供货质量、服务情况等进行季度考核。季度考核综合得分大于等于80分，甲方继续履行合同；季度考核综合得分小于80分，甲方有权解除合同。</w:t>
      </w:r>
    </w:p>
    <w:p w14:paraId="48A5E55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7、季度总评考核结果：</w:t>
      </w:r>
    </w:p>
    <w:tbl>
      <w:tblPr>
        <w:tblStyle w:val="16"/>
        <w:tblW w:w="8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2688"/>
        <w:gridCol w:w="3045"/>
      </w:tblGrid>
      <w:tr w14:paraId="5903A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86" w:type="dxa"/>
            <w:noWrap w:val="0"/>
            <w:vAlign w:val="top"/>
          </w:tcPr>
          <w:p w14:paraId="6AECAD2A">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688" w:type="dxa"/>
            <w:noWrap w:val="0"/>
            <w:vAlign w:val="top"/>
          </w:tcPr>
          <w:p w14:paraId="662F048B">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045" w:type="dxa"/>
            <w:noWrap w:val="0"/>
            <w:vAlign w:val="top"/>
          </w:tcPr>
          <w:p w14:paraId="0110BEA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2C6F1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986" w:type="dxa"/>
            <w:noWrap w:val="0"/>
            <w:vAlign w:val="top"/>
          </w:tcPr>
          <w:p w14:paraId="7BFE053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688" w:type="dxa"/>
            <w:noWrap w:val="0"/>
            <w:vAlign w:val="top"/>
          </w:tcPr>
          <w:p w14:paraId="050C5533">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045" w:type="dxa"/>
            <w:noWrap w:val="0"/>
            <w:vAlign w:val="top"/>
          </w:tcPr>
          <w:p w14:paraId="5518CC5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67831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986" w:type="dxa"/>
            <w:noWrap w:val="0"/>
            <w:vAlign w:val="top"/>
          </w:tcPr>
          <w:p w14:paraId="3B049CA8">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688" w:type="dxa"/>
            <w:noWrap w:val="0"/>
            <w:vAlign w:val="top"/>
          </w:tcPr>
          <w:p w14:paraId="7C5178BB">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045" w:type="dxa"/>
            <w:noWrap w:val="0"/>
            <w:vAlign w:val="top"/>
          </w:tcPr>
          <w:p w14:paraId="19EF2E26">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3C4AB48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5E088722">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0" w:name="_Toc6440"/>
      <w:r>
        <w:rPr>
          <w:rFonts w:hint="eastAsia" w:ascii="宋体" w:hAnsi="宋体" w:eastAsia="宋体" w:cs="宋体"/>
          <w:b/>
          <w:color w:val="auto"/>
          <w:kern w:val="2"/>
          <w:sz w:val="22"/>
          <w:szCs w:val="22"/>
          <w:highlight w:val="none"/>
        </w:rPr>
        <w:t>第三条  质量保证期</w:t>
      </w:r>
      <w:bookmarkEnd w:id="40"/>
    </w:p>
    <w:p w14:paraId="0DD299B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color w:val="auto"/>
          <w:kern w:val="2"/>
          <w:sz w:val="22"/>
          <w:szCs w:val="22"/>
          <w:highlight w:val="none"/>
        </w:rPr>
        <w:t>执行。</w:t>
      </w:r>
    </w:p>
    <w:p w14:paraId="034032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color w:val="auto"/>
          <w:kern w:val="2"/>
          <w:sz w:val="22"/>
          <w:szCs w:val="22"/>
          <w:highlight w:val="none"/>
        </w:rPr>
        <w:t>个月保质期；(2）正常运行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7BD1603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7FCD20F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00E726FE">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1" w:name="_Toc22239"/>
      <w:r>
        <w:rPr>
          <w:rFonts w:hint="eastAsia" w:ascii="宋体" w:hAnsi="宋体" w:eastAsia="宋体" w:cs="宋体"/>
          <w:b/>
          <w:color w:val="auto"/>
          <w:kern w:val="2"/>
          <w:sz w:val="22"/>
          <w:szCs w:val="22"/>
          <w:highlight w:val="none"/>
        </w:rPr>
        <w:t>第四条  包装标准、包装物的供应与回收</w:t>
      </w:r>
      <w:bookmarkEnd w:id="41"/>
    </w:p>
    <w:p w14:paraId="337783E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0360A11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2、包装物由乙方提供，不计费、乙方回收。</w:t>
      </w:r>
    </w:p>
    <w:p w14:paraId="4272833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3、化学品的包装必须满足国家标准</w:t>
      </w:r>
      <w:r>
        <w:rPr>
          <w:rFonts w:hint="eastAsia" w:ascii="宋体" w:hAnsi="宋体" w:eastAsia="宋体" w:cs="宋体"/>
          <w:bCs/>
          <w:color w:val="auto"/>
          <w:sz w:val="21"/>
          <w:szCs w:val="21"/>
          <w:highlight w:val="none"/>
        </w:rPr>
        <w:t>《化学试剂 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78F78D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38B5C87A">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382B157E">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2" w:name="_Toc13568"/>
      <w:r>
        <w:rPr>
          <w:rFonts w:hint="eastAsia" w:ascii="宋体" w:hAnsi="宋体" w:eastAsia="宋体" w:cs="宋体"/>
          <w:b/>
          <w:color w:val="auto"/>
          <w:kern w:val="2"/>
          <w:sz w:val="22"/>
          <w:szCs w:val="22"/>
          <w:highlight w:val="none"/>
        </w:rPr>
        <w:t>第五条  交货时间、地点及供货期限</w:t>
      </w:r>
      <w:bookmarkEnd w:id="42"/>
    </w:p>
    <w:p w14:paraId="1A8A98B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5D5C2505">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4C9A044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1FFA7180">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4、</w:t>
      </w:r>
      <w:r>
        <w:rPr>
          <w:rFonts w:hint="eastAsia" w:ascii="宋体" w:hAnsi="宋体" w:eastAsia="宋体" w:cs="宋体"/>
          <w:b/>
          <w:color w:val="auto"/>
          <w:kern w:val="2"/>
          <w:sz w:val="22"/>
          <w:szCs w:val="22"/>
          <w:highlight w:val="none"/>
        </w:rPr>
        <w:t>供货期限：</w:t>
      </w:r>
    </w:p>
    <w:p w14:paraId="571825D1">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w:t>
      </w:r>
      <w:r>
        <w:rPr>
          <w:rFonts w:hint="eastAsia" w:ascii="宋体" w:hAnsi="宋体" w:cs="宋体"/>
          <w:sz w:val="22"/>
        </w:rPr>
        <w:t>2026年02月01日至2027年01月31日</w:t>
      </w:r>
      <w:r>
        <w:rPr>
          <w:rFonts w:hint="eastAsia" w:ascii="宋体" w:hAnsi="宋体" w:eastAsia="宋体" w:cs="宋体"/>
          <w:color w:val="auto"/>
          <w:kern w:val="2"/>
          <w:sz w:val="22"/>
          <w:szCs w:val="22"/>
          <w:highlight w:val="none"/>
        </w:rPr>
        <w:t>止</w:t>
      </w:r>
      <w:r>
        <w:rPr>
          <w:rFonts w:hint="eastAsia" w:ascii="宋体" w:hAnsi="宋体" w:eastAsia="宋体" w:cs="宋体"/>
          <w:bCs/>
          <w:color w:val="auto"/>
          <w:kern w:val="2"/>
          <w:sz w:val="22"/>
          <w:szCs w:val="22"/>
          <w:highlight w:val="none"/>
        </w:rPr>
        <w:t>。</w:t>
      </w:r>
    </w:p>
    <w:p w14:paraId="616B8369">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合同执行期间，甲方有权根据项目实际需求提前终止合同，选择不继续采购乙方货物，乙方不得要求甲方继续采购乙方货物或要求赔偿。</w:t>
      </w:r>
    </w:p>
    <w:p w14:paraId="4A34A44E">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20E2293B">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3" w:name="_Toc26961"/>
      <w:r>
        <w:rPr>
          <w:rFonts w:hint="eastAsia" w:ascii="宋体" w:hAnsi="宋体" w:eastAsia="宋体" w:cs="宋体"/>
          <w:b/>
          <w:color w:val="auto"/>
          <w:kern w:val="2"/>
          <w:sz w:val="22"/>
          <w:szCs w:val="22"/>
          <w:highlight w:val="none"/>
        </w:rPr>
        <w:t>第六条  合理损耗标准及计算方法</w:t>
      </w:r>
      <w:bookmarkEnd w:id="43"/>
    </w:p>
    <w:p w14:paraId="65F734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甲方指定送货电厂地磅计量法，无出厂化验合格报告，禁止过磅。</w:t>
      </w:r>
    </w:p>
    <w:p w14:paraId="75E770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%）的范围内，乙方不承担责任。</w:t>
      </w:r>
    </w:p>
    <w:p w14:paraId="10449F7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60F51DF2">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4" w:name="_Toc9757"/>
      <w:r>
        <w:rPr>
          <w:rFonts w:hint="eastAsia" w:ascii="宋体" w:hAnsi="宋体" w:eastAsia="宋体" w:cs="宋体"/>
          <w:b/>
          <w:color w:val="auto"/>
          <w:kern w:val="2"/>
          <w:sz w:val="22"/>
          <w:szCs w:val="22"/>
          <w:highlight w:val="none"/>
        </w:rPr>
        <w:t>第七条  货物的保管风险及所有权的转移</w:t>
      </w:r>
      <w:bookmarkEnd w:id="44"/>
    </w:p>
    <w:p w14:paraId="104863E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2AA54CC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w:t>
      </w:r>
      <w:r>
        <w:rPr>
          <w:rFonts w:hint="eastAsia" w:ascii="宋体" w:hAnsi="宋体" w:eastAsia="宋体" w:cs="宋体"/>
          <w:color w:val="auto"/>
          <w:kern w:val="2"/>
          <w:sz w:val="22"/>
          <w:szCs w:val="22"/>
          <w:highlight w:val="none"/>
          <w:u w:val="single"/>
        </w:rPr>
        <w:t>交付</w:t>
      </w:r>
      <w:r>
        <w:rPr>
          <w:rFonts w:hint="eastAsia" w:ascii="宋体" w:hAnsi="宋体" w:eastAsia="宋体" w:cs="宋体"/>
          <w:color w:val="auto"/>
          <w:kern w:val="2"/>
          <w:sz w:val="22"/>
          <w:szCs w:val="22"/>
          <w:highlight w:val="none"/>
        </w:rPr>
        <w:t>起转移至甲方。</w:t>
      </w:r>
    </w:p>
    <w:p w14:paraId="3CE923B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59F20E9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1453026B">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294AEE6C">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7000F40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67F7B0A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48AFFD0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620F9F8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1D9E35ED">
      <w:pPr>
        <w:widowControl w:val="0"/>
        <w:adjustRightInd w:val="0"/>
        <w:snapToGrid w:val="0"/>
        <w:spacing w:line="400" w:lineRule="exact"/>
        <w:ind w:firstLine="442" w:firstLineChars="200"/>
        <w:jc w:val="both"/>
        <w:outlineLvl w:val="1"/>
        <w:rPr>
          <w:rFonts w:hint="eastAsia" w:ascii="宋体" w:hAnsi="宋体" w:eastAsia="宋体" w:cs="宋体"/>
          <w:color w:val="auto"/>
          <w:kern w:val="2"/>
          <w:sz w:val="22"/>
          <w:szCs w:val="22"/>
          <w:highlight w:val="none"/>
        </w:rPr>
      </w:pPr>
      <w:bookmarkStart w:id="45" w:name="_Toc15965"/>
      <w:r>
        <w:rPr>
          <w:rFonts w:hint="eastAsia" w:ascii="宋体" w:hAnsi="宋体" w:eastAsia="宋体" w:cs="宋体"/>
          <w:b/>
          <w:color w:val="auto"/>
          <w:kern w:val="2"/>
          <w:sz w:val="22"/>
          <w:szCs w:val="22"/>
          <w:highlight w:val="none"/>
        </w:rPr>
        <w:t>第九条  检验标准、方法、地点及期限</w:t>
      </w:r>
      <w:bookmarkEnd w:id="45"/>
    </w:p>
    <w:p w14:paraId="0583C79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0EFE552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11213D7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乙方在送货时，必须提供每一批货物的出厂化验报告，要求必须签字盖章。无出厂化验报告，禁止过磅。</w:t>
      </w:r>
    </w:p>
    <w:p w14:paraId="45DB32F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122C576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（3）不予收货：乙方货物经甲方分析检测室检验确认本车次产品不合格。</w:t>
      </w:r>
    </w:p>
    <w:p w14:paraId="4A20D71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54D3906D">
      <w:pPr>
        <w:widowControl w:val="0"/>
        <w:adjustRightInd w:val="0"/>
        <w:snapToGrid w:val="0"/>
        <w:spacing w:line="400" w:lineRule="exact"/>
        <w:ind w:firstLine="420"/>
        <w:jc w:val="both"/>
        <w:rPr>
          <w:rFonts w:hint="eastAsia" w:ascii="宋体" w:hAnsi="宋体" w:eastAsia="宋体" w:cs="宋体"/>
          <w:snapToGrid w:val="0"/>
          <w:color w:val="auto"/>
          <w:kern w:val="2"/>
          <w:sz w:val="22"/>
          <w:szCs w:val="22"/>
          <w:highlight w:val="none"/>
        </w:rPr>
      </w:pPr>
      <w:r>
        <w:rPr>
          <w:rFonts w:hint="eastAsia" w:ascii="宋体" w:hAnsi="宋体" w:eastAsia="宋体" w:cs="宋体"/>
          <w:color w:val="auto"/>
          <w:kern w:val="2"/>
          <w:sz w:val="22"/>
          <w:szCs w:val="22"/>
          <w:highlight w:val="none"/>
          <w:u w:val="single"/>
        </w:rPr>
        <w:t>甲方有权在合同期内在任一项目不定期安排随机抽检，双方见证取样，由甲方指定检测单位及送检，检测费用由甲方承担。如乙方对甲方指定检测单位的初步检验结果有异议的，或双方代表在验收中不能取得一致意见时，可提请双方认可的国家权威检验部门进行检验，其出具的检验证书是具有法律效力的最终检验结果，对双方都有约束力，检验费由责任方负担。</w:t>
      </w:r>
    </w:p>
    <w:p w14:paraId="0AB5829F">
      <w:pPr>
        <w:widowControl w:val="0"/>
        <w:numPr>
          <w:ilvl w:val="0"/>
          <w:numId w:val="3"/>
        </w:numPr>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若甲方在运行生产使用过程中，乙方的产品被甲方上级主管部门检查质量不合格，并对甲方进行做出相关处罚，由此所产生的责任及甲方损失全由乙方承担。</w:t>
      </w:r>
    </w:p>
    <w:p w14:paraId="0E2FAA0E">
      <w:pPr>
        <w:widowControl w:val="0"/>
        <w:numPr>
          <w:ilvl w:val="0"/>
          <w:numId w:val="3"/>
        </w:numPr>
        <w:adjustRightInd w:val="0"/>
        <w:snapToGrid w:val="0"/>
        <w:spacing w:line="400" w:lineRule="exact"/>
        <w:ind w:firstLine="442" w:firstLineChars="200"/>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质保期：</w:t>
      </w:r>
      <w:r>
        <w:rPr>
          <w:rFonts w:hint="eastAsia" w:ascii="宋体" w:hAnsi="宋体" w:eastAsia="宋体" w:cs="宋体"/>
          <w:color w:val="auto"/>
          <w:kern w:val="2"/>
          <w:sz w:val="22"/>
          <w:szCs w:val="22"/>
          <w:highlight w:val="none"/>
        </w:rPr>
        <w:t>乙方提供自货物交付验收合格之日起，至少6个月质保期。</w:t>
      </w:r>
    </w:p>
    <w:p w14:paraId="1D89008B">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p>
    <w:p w14:paraId="074B1CAB">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6" w:name="_Toc5220"/>
      <w:r>
        <w:rPr>
          <w:rFonts w:hint="eastAsia" w:ascii="宋体" w:hAnsi="宋体" w:eastAsia="宋体" w:cs="宋体"/>
          <w:b/>
          <w:color w:val="auto"/>
          <w:kern w:val="2"/>
          <w:sz w:val="22"/>
          <w:szCs w:val="22"/>
          <w:highlight w:val="none"/>
        </w:rPr>
        <w:t>第十条  履约担保及退回</w:t>
      </w:r>
      <w:bookmarkEnd w:id="46"/>
    </w:p>
    <w:p w14:paraId="26ED776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44"/>
          <w:sz w:val="22"/>
          <w:szCs w:val="22"/>
          <w:highlight w:val="none"/>
        </w:rPr>
        <w:t>乙方在签订合同后</w:t>
      </w:r>
      <w:r>
        <w:rPr>
          <w:rFonts w:hint="eastAsia" w:ascii="宋体" w:hAnsi="宋体" w:eastAsia="宋体" w:cs="宋体"/>
          <w:color w:val="auto"/>
          <w:kern w:val="2"/>
          <w:sz w:val="22"/>
          <w:szCs w:val="22"/>
          <w:highlight w:val="none"/>
        </w:rPr>
        <w:t>15个日历天内向甲方提供</w:t>
      </w:r>
      <w:r>
        <w:rPr>
          <w:rFonts w:hint="eastAsia" w:ascii="宋体" w:hAnsi="宋体" w:eastAsia="宋体" w:cs="宋体"/>
          <w:b/>
          <w:bCs/>
          <w:color w:val="auto"/>
          <w:sz w:val="22"/>
          <w:szCs w:val="22"/>
          <w:highlight w:val="none"/>
          <w:u w:val="double"/>
        </w:rPr>
        <w:t>人民币     整（¥</w:t>
      </w:r>
      <w:r>
        <w:rPr>
          <w:rFonts w:hint="eastAsia" w:ascii="宋体" w:hAnsi="宋体" w:eastAsia="宋体" w:cs="宋体"/>
          <w:b/>
          <w:bCs/>
          <w:color w:val="auto"/>
          <w:kern w:val="2"/>
          <w:sz w:val="22"/>
          <w:szCs w:val="22"/>
          <w:highlight w:val="none"/>
          <w:u w:val="double"/>
        </w:rPr>
        <w:t xml:space="preserve">    </w:t>
      </w:r>
      <w:r>
        <w:rPr>
          <w:rFonts w:hint="eastAsia" w:ascii="宋体" w:hAnsi="宋体" w:eastAsia="宋体" w:cs="宋体"/>
          <w:b/>
          <w:bCs/>
          <w:color w:val="auto"/>
          <w:sz w:val="22"/>
          <w:szCs w:val="22"/>
          <w:highlight w:val="none"/>
          <w:u w:val="double"/>
        </w:rPr>
        <w:t>）</w:t>
      </w:r>
      <w:r>
        <w:rPr>
          <w:rFonts w:hint="eastAsia" w:ascii="宋体" w:hAnsi="宋体" w:eastAsia="宋体" w:cs="宋体"/>
          <w:color w:val="auto"/>
          <w:kern w:val="2"/>
          <w:sz w:val="22"/>
          <w:szCs w:val="22"/>
          <w:highlight w:val="none"/>
        </w:rPr>
        <w:t>的履约保证金(</w:t>
      </w:r>
      <w:r>
        <w:rPr>
          <w:rFonts w:hint="eastAsia" w:ascii="宋体" w:hAnsi="宋体" w:eastAsia="宋体" w:cs="宋体"/>
          <w:color w:val="auto"/>
          <w:kern w:val="44"/>
          <w:sz w:val="22"/>
          <w:szCs w:val="22"/>
          <w:highlight w:val="none"/>
        </w:rPr>
        <w:t>银行转账或银行见索即付保函形式</w:t>
      </w:r>
      <w:r>
        <w:rPr>
          <w:rFonts w:hint="eastAsia" w:ascii="宋体" w:hAnsi="宋体" w:eastAsia="宋体" w:cs="宋体"/>
          <w:color w:val="auto"/>
          <w:kern w:val="2"/>
          <w:sz w:val="22"/>
          <w:szCs w:val="22"/>
          <w:highlight w:val="none"/>
        </w:rPr>
        <w:t>)。</w:t>
      </w:r>
      <w:r>
        <w:rPr>
          <w:rFonts w:hint="eastAsia" w:ascii="宋体" w:hAnsi="宋体" w:eastAsia="宋体" w:cs="宋体"/>
          <w:color w:val="auto"/>
          <w:kern w:val="44"/>
          <w:sz w:val="22"/>
          <w:szCs w:val="22"/>
          <w:highlight w:val="none"/>
        </w:rPr>
        <w:t>乙方以银行保函方式提交履约担保并且保函规定了有效期的，乙方应当在保函有效期届满前一个月向甲方提交续期保函。</w:t>
      </w:r>
      <w:r>
        <w:rPr>
          <w:rFonts w:hint="eastAsia" w:ascii="宋体" w:hAnsi="宋体" w:eastAsia="宋体" w:cs="宋体"/>
          <w:color w:val="auto"/>
          <w:kern w:val="2"/>
          <w:sz w:val="22"/>
          <w:szCs w:val="22"/>
          <w:highlight w:val="none"/>
        </w:rPr>
        <w:t>作为甲方对乙方合约履行的保证，如乙方违约（具体参考本合同第十四条及其他条款的约定），甲方则有权从该履约保证金中扣除。</w:t>
      </w:r>
    </w:p>
    <w:p w14:paraId="56BC3C1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67DBE0E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15ED408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w:t>
      </w:r>
      <w:bookmarkStart w:id="47" w:name="_Hlk18878965"/>
      <w:r>
        <w:rPr>
          <w:rFonts w:hint="eastAsia" w:ascii="宋体" w:hAnsi="宋体" w:eastAsia="宋体" w:cs="宋体"/>
          <w:color w:val="auto"/>
          <w:kern w:val="2"/>
          <w:sz w:val="22"/>
          <w:szCs w:val="22"/>
          <w:highlight w:val="none"/>
        </w:rPr>
        <w:t>、乙方依照本合同约定全面履行义务，并经甲方书面同意后，</w:t>
      </w:r>
      <w:r>
        <w:rPr>
          <w:rFonts w:hint="eastAsia" w:ascii="宋体" w:hAnsi="宋体" w:eastAsia="宋体" w:cs="宋体"/>
          <w:color w:val="auto"/>
          <w:kern w:val="44"/>
          <w:sz w:val="22"/>
          <w:szCs w:val="22"/>
          <w:highlight w:val="none"/>
        </w:rPr>
        <w:t>履约担保在完成本合同全部义务且质保期（如有）满后二十八天内无息退还</w:t>
      </w:r>
      <w:r>
        <w:rPr>
          <w:rFonts w:hint="eastAsia" w:ascii="宋体" w:hAnsi="宋体" w:eastAsia="宋体" w:cs="宋体"/>
          <w:color w:val="auto"/>
          <w:kern w:val="2"/>
          <w:sz w:val="22"/>
          <w:szCs w:val="22"/>
          <w:highlight w:val="none"/>
        </w:rPr>
        <w:t>，履约保函过期失效。</w:t>
      </w:r>
      <w:bookmarkEnd w:id="47"/>
      <w:r>
        <w:rPr>
          <w:rFonts w:hint="eastAsia" w:ascii="宋体" w:hAnsi="宋体" w:eastAsia="宋体" w:cs="宋体"/>
          <w:color w:val="auto"/>
          <w:kern w:val="2"/>
          <w:sz w:val="22"/>
          <w:szCs w:val="22"/>
          <w:highlight w:val="none"/>
        </w:rPr>
        <w:t>乙方在履约保证期满后须提交退款申请，否则甲方有权延期退款。</w:t>
      </w:r>
    </w:p>
    <w:p w14:paraId="33116C4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bookmarkStart w:id="48" w:name="_Hlk18880568"/>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bookmarkEnd w:id="48"/>
    <w:p w14:paraId="25A128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6E32546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53C010D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3961670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45B24C1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58D64265">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49" w:name="_Toc21994"/>
      <w:r>
        <w:rPr>
          <w:rFonts w:hint="eastAsia" w:ascii="宋体" w:hAnsi="宋体" w:eastAsia="宋体" w:cs="宋体"/>
          <w:b/>
          <w:color w:val="auto"/>
          <w:kern w:val="2"/>
          <w:sz w:val="22"/>
          <w:szCs w:val="22"/>
          <w:highlight w:val="none"/>
        </w:rPr>
        <w:t>第十一条 付款方式及付款条件</w:t>
      </w:r>
      <w:bookmarkEnd w:id="49"/>
    </w:p>
    <w:p w14:paraId="79A4D11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w:t>
      </w:r>
      <w:r>
        <w:rPr>
          <w:rFonts w:hint="eastAsia" w:ascii="宋体" w:hAnsi="宋体" w:eastAsia="宋体" w:cs="宋体"/>
          <w:color w:val="auto"/>
          <w:kern w:val="2"/>
          <w:sz w:val="22"/>
          <w:szCs w:val="22"/>
          <w:highlight w:val="none"/>
          <w:u w:val="single"/>
        </w:rPr>
        <w:t>月结</w:t>
      </w:r>
      <w:r>
        <w:rPr>
          <w:rFonts w:hint="eastAsia" w:ascii="宋体" w:hAnsi="宋体" w:eastAsia="宋体" w:cs="宋体"/>
          <w:color w:val="auto"/>
          <w:kern w:val="2"/>
          <w:sz w:val="22"/>
          <w:szCs w:val="22"/>
          <w:highlight w:val="none"/>
        </w:rPr>
        <w:t>方式支付：</w:t>
      </w:r>
    </w:p>
    <w:p w14:paraId="605FDF2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02E5809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0C8F40D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2FEA66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11B35B0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3867472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56B3421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11F1F10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51663B7C">
      <w:pPr>
        <w:widowControl w:val="0"/>
        <w:tabs>
          <w:tab w:val="left" w:pos="6597"/>
        </w:tabs>
        <w:autoSpaceDE w:val="0"/>
        <w:autoSpaceDN w:val="0"/>
        <w:adjustRightInd w:val="0"/>
        <w:snapToGrid w:val="0"/>
        <w:spacing w:line="400" w:lineRule="exact"/>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22F7C08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3304CBD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13198F4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2151D68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05C737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440BC7E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216EB6D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5C3C414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511D0A5A">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0" w:name="_Toc9912"/>
      <w:r>
        <w:rPr>
          <w:rFonts w:hint="eastAsia" w:ascii="宋体" w:hAnsi="宋体" w:eastAsia="宋体" w:cs="宋体"/>
          <w:b/>
          <w:color w:val="auto"/>
          <w:kern w:val="2"/>
          <w:sz w:val="22"/>
          <w:szCs w:val="22"/>
          <w:highlight w:val="none"/>
        </w:rPr>
        <w:t>第十二条  不可抗力</w:t>
      </w:r>
      <w:bookmarkEnd w:id="50"/>
    </w:p>
    <w:p w14:paraId="5ADF116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621F2F0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w:t>
      </w:r>
      <w:r>
        <w:rPr>
          <w:rFonts w:hint="eastAsia" w:ascii="宋体" w:hAnsi="宋体" w:eastAsia="宋体" w:cs="宋体"/>
          <w:color w:val="auto"/>
          <w:kern w:val="2"/>
          <w:sz w:val="22"/>
          <w:szCs w:val="22"/>
          <w:highlight w:val="none"/>
          <w:u w:val="single"/>
        </w:rPr>
        <w:t>7</w:t>
      </w:r>
      <w:r>
        <w:rPr>
          <w:rFonts w:hint="eastAsia" w:ascii="宋体" w:hAnsi="宋体" w:eastAsia="宋体" w:cs="宋体"/>
          <w:color w:val="auto"/>
          <w:kern w:val="2"/>
          <w:sz w:val="22"/>
          <w:szCs w:val="22"/>
          <w:highlight w:val="none"/>
        </w:rPr>
        <w:t>日内特快专递邮寄相关的主管部门签发的证明文件,以便其他各方审查、确认。</w:t>
      </w:r>
    </w:p>
    <w:p w14:paraId="56B130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w:t>
      </w:r>
      <w:r>
        <w:rPr>
          <w:rFonts w:hint="eastAsia" w:ascii="宋体" w:hAnsi="宋体" w:eastAsia="宋体" w:cs="宋体"/>
          <w:color w:val="auto"/>
          <w:kern w:val="2"/>
          <w:sz w:val="22"/>
          <w:szCs w:val="22"/>
          <w:highlight w:val="none"/>
          <w:u w:val="single"/>
        </w:rPr>
        <w:t>7</w:t>
      </w:r>
      <w:r>
        <w:rPr>
          <w:rFonts w:hint="eastAsia" w:ascii="宋体" w:hAnsi="宋体" w:eastAsia="宋体" w:cs="宋体"/>
          <w:color w:val="auto"/>
          <w:kern w:val="2"/>
          <w:sz w:val="22"/>
          <w:szCs w:val="22"/>
          <w:highlight w:val="none"/>
        </w:rPr>
        <w:t>日内特快专递邮寄相关的主管部门签发的证明文件确认不可抗力事件的终止或消除。</w:t>
      </w:r>
    </w:p>
    <w:p w14:paraId="376B33C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w:t>
      </w:r>
      <w:r>
        <w:rPr>
          <w:rFonts w:hint="eastAsia" w:ascii="宋体" w:hAnsi="宋体" w:eastAsia="宋体" w:cs="宋体"/>
          <w:color w:val="auto"/>
          <w:kern w:val="2"/>
          <w:sz w:val="22"/>
          <w:szCs w:val="22"/>
          <w:highlight w:val="none"/>
          <w:u w:val="single"/>
        </w:rPr>
        <w:t>3个</w:t>
      </w:r>
      <w:r>
        <w:rPr>
          <w:rFonts w:hint="eastAsia" w:ascii="宋体" w:hAnsi="宋体" w:eastAsia="宋体" w:cs="宋体"/>
          <w:color w:val="auto"/>
          <w:kern w:val="2"/>
          <w:sz w:val="22"/>
          <w:szCs w:val="22"/>
          <w:highlight w:val="none"/>
        </w:rPr>
        <w:t>月，受不可抗力影响的一方应与对方取得联系，以便解决进一步履行合同的问题。</w:t>
      </w:r>
    </w:p>
    <w:p w14:paraId="111FF157">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color w:val="auto"/>
          <w:kern w:val="2"/>
          <w:sz w:val="22"/>
          <w:szCs w:val="22"/>
          <w:highlight w:val="none"/>
        </w:rPr>
        <w:t>5、</w:t>
      </w:r>
      <w:r>
        <w:rPr>
          <w:rFonts w:hint="eastAsia" w:ascii="宋体" w:hAnsi="宋体" w:eastAsia="宋体" w:cs="宋体"/>
          <w:bCs/>
          <w:color w:val="auto"/>
          <w:kern w:val="2"/>
          <w:sz w:val="22"/>
          <w:szCs w:val="22"/>
          <w:highlight w:val="none"/>
        </w:rPr>
        <w:t>乙方应考虑因不可抗力或安全事故等突发因素导致甲方项目延期或停产而不能完成年度采购计划总量的情况，并自行承担风险。</w:t>
      </w:r>
    </w:p>
    <w:p w14:paraId="5E144FD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019D7990">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1" w:name="_Toc5018"/>
      <w:r>
        <w:rPr>
          <w:rFonts w:hint="eastAsia" w:ascii="宋体" w:hAnsi="宋体" w:eastAsia="宋体" w:cs="宋体"/>
          <w:b/>
          <w:color w:val="auto"/>
          <w:kern w:val="2"/>
          <w:sz w:val="22"/>
          <w:szCs w:val="22"/>
          <w:highlight w:val="none"/>
        </w:rPr>
        <w:t>第十三条  合同的变更和解除</w:t>
      </w:r>
      <w:bookmarkEnd w:id="51"/>
    </w:p>
    <w:p w14:paraId="686B9D4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5936DE6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7F503D3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75892A3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4FF33DC4">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2" w:name="_Toc4286"/>
      <w:r>
        <w:rPr>
          <w:rFonts w:hint="eastAsia" w:ascii="宋体" w:hAnsi="宋体" w:eastAsia="宋体" w:cs="宋体"/>
          <w:b/>
          <w:color w:val="auto"/>
          <w:kern w:val="2"/>
          <w:sz w:val="22"/>
          <w:szCs w:val="22"/>
          <w:highlight w:val="none"/>
        </w:rPr>
        <w:t>第十四条  违约责任</w:t>
      </w:r>
      <w:bookmarkEnd w:id="52"/>
    </w:p>
    <w:p w14:paraId="01B723A3">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11B6D9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73087E3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4D757AE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w:t>
      </w:r>
      <w:r>
        <w:rPr>
          <w:rFonts w:hint="eastAsia" w:ascii="宋体" w:hAnsi="宋体" w:eastAsia="宋体" w:cs="宋体"/>
          <w:snapToGrid w:val="0"/>
          <w:color w:val="auto"/>
          <w:kern w:val="2"/>
          <w:sz w:val="22"/>
          <w:szCs w:val="22"/>
          <w:highlight w:val="none"/>
        </w:rPr>
        <w:t>每车次货物</w:t>
      </w:r>
      <w:r>
        <w:rPr>
          <w:rFonts w:hint="eastAsia" w:ascii="宋体" w:hAnsi="宋体" w:eastAsia="宋体" w:cs="宋体"/>
          <w:color w:val="auto"/>
          <w:kern w:val="2"/>
          <w:sz w:val="22"/>
          <w:szCs w:val="22"/>
          <w:highlight w:val="none"/>
        </w:rPr>
        <w:t>甲方实验室初步检验报告</w:t>
      </w:r>
      <w:r>
        <w:rPr>
          <w:rFonts w:hint="eastAsia" w:ascii="宋体" w:hAnsi="宋体" w:eastAsia="宋体" w:cs="宋体"/>
          <w:snapToGrid w:val="0"/>
          <w:color w:val="auto"/>
          <w:kern w:val="2"/>
          <w:sz w:val="22"/>
          <w:szCs w:val="22"/>
          <w:highlight w:val="none"/>
        </w:rPr>
        <w:t>及甲方对异议货物要求乙方委托第三方出具的合格检测报告（如有）作为乙方进行结算的附件，</w:t>
      </w:r>
      <w:r>
        <w:rPr>
          <w:rFonts w:hint="eastAsia" w:ascii="宋体" w:hAnsi="宋体" w:eastAsia="宋体" w:cs="宋体"/>
          <w:color w:val="auto"/>
          <w:kern w:val="2"/>
          <w:sz w:val="22"/>
          <w:szCs w:val="22"/>
          <w:highlight w:val="none"/>
        </w:rPr>
        <w:t>若作为最终依据的</w:t>
      </w:r>
      <w:r>
        <w:rPr>
          <w:rFonts w:hint="eastAsia" w:ascii="宋体" w:hAnsi="宋体" w:eastAsia="宋体" w:cs="宋体"/>
          <w:snapToGrid w:val="0"/>
          <w:color w:val="auto"/>
          <w:kern w:val="2"/>
          <w:sz w:val="22"/>
          <w:szCs w:val="22"/>
          <w:highlight w:val="none"/>
        </w:rPr>
        <w:t>第三方检测结果不合格，则视为该车次产品不合格。若乙方在货物质量方面不能满足甲方要求，事件发生一次，甲方将出具整改单给乙方，该车次货款不予结算，且乙方须向甲方支付当月货款的2%作为违约金；</w:t>
      </w:r>
      <w:r>
        <w:rPr>
          <w:rFonts w:hint="eastAsia" w:ascii="宋体" w:hAnsi="宋体" w:eastAsia="宋体" w:cs="宋体"/>
          <w:color w:val="auto"/>
          <w:kern w:val="2"/>
          <w:sz w:val="22"/>
          <w:szCs w:val="22"/>
          <w:highlight w:val="none"/>
        </w:rPr>
        <w:t>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570BB1F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2431B92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5C04B75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w:t>
      </w:r>
      <w:r>
        <w:rPr>
          <w:rFonts w:hint="eastAsia" w:ascii="宋体" w:hAnsi="宋体" w:eastAsia="宋体" w:cs="宋体"/>
          <w:color w:val="auto"/>
          <w:kern w:val="2"/>
          <w:sz w:val="22"/>
          <w:szCs w:val="22"/>
          <w:highlight w:val="none"/>
          <w:u w:val="single"/>
        </w:rPr>
        <w:t xml:space="preserve"> 两 </w:t>
      </w:r>
      <w:r>
        <w:rPr>
          <w:rFonts w:hint="eastAsia" w:ascii="宋体" w:hAnsi="宋体" w:eastAsia="宋体" w:cs="宋体"/>
          <w:color w:val="auto"/>
          <w:kern w:val="2"/>
          <w:sz w:val="22"/>
          <w:szCs w:val="22"/>
          <w:highlight w:val="none"/>
        </w:rPr>
        <w:t>日内补足货物数量，如在甲方通知的期限内，乙方未能进行更换或补足，则乙方应承担本合同第十四条第1款逾期交货的违约责任。同时甲方有权要求乙方赔偿因其不完全履约而造成的损失。</w:t>
      </w:r>
    </w:p>
    <w:p w14:paraId="237AF9E5">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w:t>
      </w:r>
      <w:r>
        <w:rPr>
          <w:rFonts w:hint="eastAsia" w:ascii="宋体" w:hAnsi="宋体" w:eastAsia="宋体" w:cs="宋体"/>
          <w:color w:val="auto"/>
          <w:sz w:val="22"/>
          <w:szCs w:val="22"/>
          <w:highlight w:val="none"/>
        </w:rPr>
        <w:t>计划供货量*中标单价</w:t>
      </w:r>
      <w:r>
        <w:rPr>
          <w:rFonts w:hint="eastAsia" w:ascii="宋体" w:hAnsi="宋体" w:eastAsia="宋体" w:cs="宋体"/>
          <w:color w:val="auto"/>
          <w:kern w:val="2"/>
          <w:sz w:val="22"/>
          <w:szCs w:val="22"/>
          <w:highlight w:val="none"/>
        </w:rPr>
        <w:t>）2%的违约金并且赔偿甲方全部损失，同时甲方没收乙方的履约保证金。</w:t>
      </w:r>
    </w:p>
    <w:p w14:paraId="7527AE69">
      <w:pPr>
        <w:widowControl w:val="0"/>
        <w:tabs>
          <w:tab w:val="left" w:pos="7920"/>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5494A9D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1CF98B6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49DF1700">
      <w:pPr>
        <w:widowControl w:val="0"/>
        <w:adjustRightInd w:val="0"/>
        <w:snapToGrid w:val="0"/>
        <w:spacing w:line="400" w:lineRule="exact"/>
        <w:ind w:firstLine="442" w:firstLineChars="200"/>
        <w:jc w:val="both"/>
        <w:rPr>
          <w:rFonts w:hint="eastAsia" w:ascii="宋体" w:hAnsi="宋体" w:eastAsia="宋体" w:cs="宋体"/>
          <w:b/>
          <w:bCs/>
          <w:color w:val="auto"/>
          <w:kern w:val="2"/>
          <w:sz w:val="22"/>
          <w:szCs w:val="22"/>
          <w:highlight w:val="none"/>
        </w:rPr>
      </w:pPr>
    </w:p>
    <w:p w14:paraId="1435456D">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3" w:name="_Toc26853"/>
      <w:r>
        <w:rPr>
          <w:rFonts w:hint="eastAsia" w:ascii="宋体" w:hAnsi="宋体" w:eastAsia="宋体" w:cs="宋体"/>
          <w:b/>
          <w:color w:val="auto"/>
          <w:kern w:val="2"/>
          <w:sz w:val="22"/>
          <w:szCs w:val="22"/>
          <w:highlight w:val="none"/>
        </w:rPr>
        <w:t>第十五条  法律适用及争议解决</w:t>
      </w:r>
      <w:bookmarkEnd w:id="53"/>
    </w:p>
    <w:p w14:paraId="046B8B3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16DD1A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6C50E9D9">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7FAE02D6">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4" w:name="_Toc24811"/>
      <w:r>
        <w:rPr>
          <w:rFonts w:hint="eastAsia" w:ascii="宋体" w:hAnsi="宋体" w:eastAsia="宋体" w:cs="宋体"/>
          <w:b/>
          <w:color w:val="auto"/>
          <w:kern w:val="2"/>
          <w:sz w:val="22"/>
          <w:szCs w:val="22"/>
          <w:highlight w:val="none"/>
        </w:rPr>
        <w:t>第十六条  合同生效及其他</w:t>
      </w:r>
      <w:bookmarkEnd w:id="54"/>
    </w:p>
    <w:p w14:paraId="628585F5">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060BC865">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2A9162E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0985136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13E9D6C3">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006D8F6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合同签订时补充_以及技术协议书、用户需求书、规格书、采购文件、</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560C7378">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7、本合同一式_</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_份，甲方执</w:t>
      </w:r>
      <w:r>
        <w:rPr>
          <w:rFonts w:hint="eastAsia" w:ascii="宋体" w:hAnsi="宋体" w:eastAsia="宋体" w:cs="宋体"/>
          <w:color w:val="auto"/>
          <w:kern w:val="2"/>
          <w:sz w:val="22"/>
          <w:szCs w:val="22"/>
          <w:highlight w:val="none"/>
          <w:u w:val="single"/>
        </w:rPr>
        <w:t>_</w:t>
      </w:r>
      <w:r>
        <w:rPr>
          <w:rFonts w:hint="eastAsia" w:ascii="宋体" w:hAnsi="宋体" w:cs="宋体"/>
          <w:color w:val="auto"/>
          <w:kern w:val="2"/>
          <w:sz w:val="22"/>
          <w:szCs w:val="22"/>
          <w:highlight w:val="none"/>
          <w:u w:val="single"/>
          <w:lang w:val="en-US" w:eastAsia="zh-CN"/>
        </w:rPr>
        <w:t>叁</w:t>
      </w:r>
      <w:r>
        <w:rPr>
          <w:rFonts w:hint="eastAsia" w:ascii="宋体" w:hAnsi="宋体" w:eastAsia="宋体" w:cs="宋体"/>
          <w:color w:val="auto"/>
          <w:kern w:val="2"/>
          <w:sz w:val="22"/>
          <w:szCs w:val="22"/>
          <w:highlight w:val="none"/>
          <w:u w:val="single"/>
        </w:rPr>
        <w:t>_</w:t>
      </w:r>
      <w:r>
        <w:rPr>
          <w:rFonts w:hint="eastAsia" w:ascii="宋体" w:hAnsi="宋体" w:eastAsia="宋体" w:cs="宋体"/>
          <w:color w:val="auto"/>
          <w:kern w:val="2"/>
          <w:sz w:val="22"/>
          <w:szCs w:val="22"/>
          <w:highlight w:val="none"/>
        </w:rPr>
        <w:t>份，乙方执</w:t>
      </w:r>
      <w:r>
        <w:rPr>
          <w:rFonts w:hint="eastAsia" w:ascii="宋体" w:hAnsi="宋体" w:eastAsia="宋体" w:cs="宋体"/>
          <w:color w:val="auto"/>
          <w:kern w:val="2"/>
          <w:sz w:val="22"/>
          <w:szCs w:val="22"/>
          <w:highlight w:val="none"/>
          <w:u w:val="single"/>
        </w:rPr>
        <w:t>_二_</w:t>
      </w:r>
      <w:r>
        <w:rPr>
          <w:rFonts w:hint="eastAsia" w:ascii="宋体" w:hAnsi="宋体" w:eastAsia="宋体" w:cs="宋体"/>
          <w:color w:val="auto"/>
          <w:kern w:val="2"/>
          <w:sz w:val="22"/>
          <w:szCs w:val="22"/>
          <w:highlight w:val="none"/>
        </w:rPr>
        <w:t>份，具有同等法律效力。</w:t>
      </w:r>
    </w:p>
    <w:p w14:paraId="765E4643">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3879848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9、本合同自双方签字并盖章之日起生效，合同有效期自生效之日起至至达到供货量止。</w:t>
      </w:r>
    </w:p>
    <w:p w14:paraId="224C0FC4">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10、其他约定：_</w:t>
      </w:r>
      <w:r>
        <w:rPr>
          <w:rFonts w:hint="eastAsia" w:ascii="宋体" w:hAnsi="宋体" w:eastAsia="宋体" w:cs="宋体"/>
          <w:color w:val="auto"/>
          <w:kern w:val="2"/>
          <w:sz w:val="22"/>
          <w:szCs w:val="22"/>
          <w:highlight w:val="none"/>
          <w:u w:val="single"/>
        </w:rPr>
        <w:t>无__</w:t>
      </w:r>
      <w:r>
        <w:rPr>
          <w:rFonts w:hint="eastAsia" w:ascii="宋体" w:hAnsi="宋体" w:eastAsia="宋体" w:cs="宋体"/>
          <w:color w:val="auto"/>
          <w:kern w:val="2"/>
          <w:sz w:val="22"/>
          <w:szCs w:val="22"/>
          <w:highlight w:val="none"/>
        </w:rPr>
        <w:t>___________________。</w:t>
      </w:r>
    </w:p>
    <w:p w14:paraId="6F351D99">
      <w:pPr>
        <w:widowControl w:val="0"/>
        <w:tabs>
          <w:tab w:val="right" w:pos="8306"/>
        </w:tabs>
        <w:adjustRightInd w:val="0"/>
        <w:snapToGrid w:val="0"/>
        <w:spacing w:line="400" w:lineRule="exact"/>
        <w:ind w:firstLine="442" w:firstLineChars="200"/>
        <w:jc w:val="both"/>
        <w:outlineLvl w:val="1"/>
        <w:rPr>
          <w:rFonts w:hint="eastAsia" w:ascii="宋体" w:hAnsi="宋体" w:eastAsia="宋体" w:cs="宋体"/>
          <w:b/>
          <w:bCs/>
          <w:snapToGrid w:val="0"/>
          <w:color w:val="auto"/>
          <w:kern w:val="2"/>
          <w:sz w:val="22"/>
          <w:szCs w:val="22"/>
          <w:highlight w:val="none"/>
        </w:rPr>
      </w:pPr>
      <w:bookmarkStart w:id="55" w:name="_Toc27100"/>
      <w:r>
        <w:rPr>
          <w:rFonts w:hint="eastAsia" w:ascii="宋体" w:hAnsi="宋体" w:eastAsia="宋体" w:cs="宋体"/>
          <w:b/>
          <w:bCs/>
          <w:snapToGrid w:val="0"/>
          <w:color w:val="auto"/>
          <w:kern w:val="2"/>
          <w:sz w:val="22"/>
          <w:szCs w:val="22"/>
          <w:highlight w:val="none"/>
        </w:rPr>
        <w:t>第十七条  附件</w:t>
      </w:r>
      <w:bookmarkEnd w:id="55"/>
    </w:p>
    <w:p w14:paraId="205314B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附件一、氨水采购技术需求书</w:t>
      </w:r>
    </w:p>
    <w:p w14:paraId="4EACCDE9">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w:t>
      </w:r>
      <w:r>
        <w:rPr>
          <w:rFonts w:hint="eastAsia" w:ascii="宋体" w:hAnsi="宋体" w:cs="宋体"/>
          <w:color w:val="auto"/>
          <w:kern w:val="2"/>
          <w:sz w:val="22"/>
          <w:szCs w:val="22"/>
          <w:highlight w:val="none"/>
          <w:lang w:val="en-US" w:eastAsia="zh-CN"/>
        </w:rPr>
        <w:t>合作</w:t>
      </w:r>
      <w:r>
        <w:rPr>
          <w:rFonts w:hint="eastAsia" w:ascii="宋体" w:hAnsi="宋体" w:eastAsia="宋体" w:cs="宋体"/>
          <w:color w:val="auto"/>
          <w:kern w:val="2"/>
          <w:sz w:val="22"/>
          <w:szCs w:val="22"/>
          <w:highlight w:val="none"/>
        </w:rPr>
        <w:t>协议</w:t>
      </w:r>
    </w:p>
    <w:p w14:paraId="66FCAF53">
      <w:pPr>
        <w:widowControl w:val="0"/>
        <w:tabs>
          <w:tab w:val="right" w:pos="8306"/>
        </w:tabs>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545CDCAA">
      <w:pPr>
        <w:widowControl w:val="0"/>
        <w:adjustRightInd w:val="0"/>
        <w:snapToGrid w:val="0"/>
        <w:spacing w:line="400" w:lineRule="exact"/>
        <w:ind w:firstLine="331" w:firstLineChars="15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704CA3D8">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3FF8623B">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727266A9">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甲方：                              乙方：</w:t>
      </w:r>
    </w:p>
    <w:p w14:paraId="0A27EE89">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599438B7">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5CDFBEB7">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4C80DFD1">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01F45045">
      <w:pPr>
        <w:widowControl w:val="0"/>
        <w:adjustRightInd/>
        <w:snapToGrid/>
        <w:spacing w:after="120" w:line="240" w:lineRule="auto"/>
        <w:jc w:val="both"/>
        <w:rPr>
          <w:rFonts w:hint="eastAsia" w:ascii="宋体" w:hAnsi="宋体" w:eastAsia="宋体" w:cs="宋体"/>
          <w:b/>
          <w:color w:val="auto"/>
          <w:kern w:val="2"/>
          <w:sz w:val="22"/>
          <w:szCs w:val="22"/>
          <w:highlight w:val="none"/>
        </w:rPr>
      </w:pPr>
    </w:p>
    <w:p w14:paraId="51FAC8AA">
      <w:pPr>
        <w:widowControl w:val="0"/>
        <w:adjustRightInd/>
        <w:snapToGrid/>
        <w:spacing w:after="120" w:line="240" w:lineRule="auto"/>
        <w:ind w:firstLine="221" w:firstLineChars="100"/>
        <w:jc w:val="both"/>
        <w:rPr>
          <w:rFonts w:hint="eastAsia" w:ascii="宋体" w:hAnsi="宋体" w:eastAsia="宋体" w:cs="宋体"/>
          <w:b/>
          <w:color w:val="auto"/>
          <w:kern w:val="2"/>
          <w:sz w:val="22"/>
          <w:szCs w:val="22"/>
          <w:highlight w:val="none"/>
        </w:rPr>
      </w:pPr>
    </w:p>
    <w:p w14:paraId="630EE98F">
      <w:pPr>
        <w:widowControl w:val="0"/>
        <w:adjustRightInd/>
        <w:snapToGrid/>
        <w:spacing w:after="120" w:line="240" w:lineRule="auto"/>
        <w:ind w:firstLine="221" w:firstLineChars="100"/>
        <w:jc w:val="both"/>
        <w:rPr>
          <w:rFonts w:hint="eastAsia" w:ascii="宋体" w:hAnsi="宋体" w:eastAsia="宋体" w:cs="宋体"/>
          <w:b/>
          <w:color w:val="auto"/>
          <w:kern w:val="2"/>
          <w:sz w:val="22"/>
          <w:szCs w:val="22"/>
          <w:highlight w:val="none"/>
        </w:rPr>
      </w:pPr>
    </w:p>
    <w:p w14:paraId="44832CED">
      <w:pPr>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br w:type="page"/>
      </w:r>
    </w:p>
    <w:p w14:paraId="40AD0E3D">
      <w:pPr>
        <w:widowControl w:val="0"/>
        <w:adjustRightInd w:val="0"/>
        <w:snapToGrid w:val="0"/>
        <w:spacing w:line="400" w:lineRule="exact"/>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附件一、氨水采购技术需求书</w:t>
      </w:r>
    </w:p>
    <w:p w14:paraId="58431386">
      <w:pPr>
        <w:rPr>
          <w:rFonts w:hint="eastAsia"/>
        </w:rPr>
      </w:pPr>
      <w:r>
        <w:rPr>
          <w:rFonts w:hint="eastAsia"/>
        </w:rPr>
        <w:br w:type="page"/>
      </w:r>
    </w:p>
    <w:p w14:paraId="61F851C8">
      <w:pPr>
        <w:widowControl w:val="0"/>
        <w:tabs>
          <w:tab w:val="right" w:pos="8306"/>
        </w:tabs>
        <w:adjustRightInd w:val="0"/>
        <w:snapToGrid w:val="0"/>
        <w:spacing w:line="400" w:lineRule="exact"/>
        <w:ind w:firstLine="440" w:firstLineChars="200"/>
        <w:jc w:val="both"/>
        <w:rPr>
          <w:rFonts w:hint="eastAsia" w:ascii="宋体" w:hAnsi="宋体" w:eastAsia="宋体" w:cs="宋体"/>
          <w:b/>
          <w:color w:val="auto"/>
          <w:kern w:val="2"/>
          <w:sz w:val="44"/>
          <w:szCs w:val="44"/>
          <w:highlight w:val="none"/>
        </w:rPr>
      </w:pPr>
      <w:r>
        <w:rPr>
          <w:rFonts w:hint="eastAsia" w:ascii="宋体" w:hAnsi="宋体" w:eastAsia="宋体" w:cs="宋体"/>
          <w:color w:val="auto"/>
          <w:kern w:val="2"/>
          <w:sz w:val="22"/>
          <w:szCs w:val="22"/>
          <w:highlight w:val="none"/>
        </w:rPr>
        <w:t>附件二</w:t>
      </w: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rPr>
        <w:t>阳光</w:t>
      </w:r>
      <w:r>
        <w:rPr>
          <w:rFonts w:hint="eastAsia" w:ascii="宋体" w:hAnsi="宋体" w:cs="宋体"/>
          <w:color w:val="auto"/>
          <w:kern w:val="2"/>
          <w:sz w:val="22"/>
          <w:szCs w:val="22"/>
          <w:highlight w:val="none"/>
          <w:lang w:val="en-US" w:eastAsia="zh-CN"/>
        </w:rPr>
        <w:t>合作</w:t>
      </w:r>
      <w:r>
        <w:rPr>
          <w:rFonts w:hint="eastAsia" w:ascii="宋体" w:hAnsi="宋体" w:eastAsia="宋体" w:cs="宋体"/>
          <w:color w:val="auto"/>
          <w:kern w:val="2"/>
          <w:sz w:val="22"/>
          <w:szCs w:val="22"/>
          <w:highlight w:val="none"/>
        </w:rPr>
        <w:t>协议</w:t>
      </w:r>
    </w:p>
    <w:p w14:paraId="12785CF0">
      <w:pPr>
        <w:widowControl w:val="0"/>
        <w:adjustRightInd/>
        <w:snapToGrid/>
        <w:spacing w:line="360" w:lineRule="auto"/>
        <w:ind w:firstLine="883" w:firstLineChars="20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阳光合作协议</w:t>
      </w:r>
    </w:p>
    <w:p w14:paraId="58675473">
      <w:pPr>
        <w:widowControl w:val="0"/>
        <w:adjustRightInd/>
        <w:snapToGrid/>
        <w:spacing w:line="360" w:lineRule="auto"/>
        <w:ind w:firstLine="562" w:firstLineChars="200"/>
        <w:jc w:val="center"/>
        <w:rPr>
          <w:rFonts w:hint="eastAsia" w:ascii="宋体" w:hAnsi="宋体" w:eastAsia="宋体" w:cs="宋体"/>
          <w:b/>
          <w:color w:val="auto"/>
          <w:kern w:val="2"/>
          <w:sz w:val="28"/>
          <w:szCs w:val="28"/>
          <w:highlight w:val="none"/>
        </w:rPr>
      </w:pPr>
    </w:p>
    <w:p w14:paraId="7684DC52">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甲方：</w:t>
      </w:r>
      <w:r>
        <w:rPr>
          <w:rFonts w:hint="eastAsia" w:ascii="宋体" w:hAnsi="宋体" w:eastAsia="宋体" w:cs="宋体"/>
          <w:color w:val="auto"/>
          <w:kern w:val="2"/>
          <w:sz w:val="22"/>
          <w:szCs w:val="22"/>
          <w:highlight w:val="none"/>
          <w:u w:val="single"/>
        </w:rPr>
        <w:t xml:space="preserve">                                      </w:t>
      </w:r>
    </w:p>
    <w:p w14:paraId="3CBC7FB2">
      <w:pPr>
        <w:widowControl w:val="0"/>
        <w:adjustRightInd/>
        <w:snapToGrid/>
        <w:spacing w:line="400" w:lineRule="exact"/>
        <w:jc w:val="both"/>
        <w:rPr>
          <w:rFonts w:hint="eastAsia" w:ascii="宋体" w:hAnsi="宋体" w:eastAsia="宋体" w:cs="宋体"/>
          <w:color w:val="auto"/>
          <w:kern w:val="2"/>
          <w:sz w:val="22"/>
          <w:szCs w:val="22"/>
          <w:highlight w:val="none"/>
        </w:rPr>
      </w:pPr>
    </w:p>
    <w:p w14:paraId="569B019C">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乙方：</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 xml:space="preserve"> </w:t>
      </w:r>
    </w:p>
    <w:p w14:paraId="49F590B9">
      <w:pPr>
        <w:widowControl w:val="0"/>
        <w:adjustRightInd/>
        <w:snapToGrid/>
        <w:spacing w:line="400" w:lineRule="exact"/>
        <w:jc w:val="both"/>
        <w:rPr>
          <w:rFonts w:hint="eastAsia" w:ascii="宋体" w:hAnsi="宋体" w:eastAsia="宋体" w:cs="宋体"/>
          <w:color w:val="auto"/>
          <w:kern w:val="2"/>
          <w:sz w:val="22"/>
          <w:szCs w:val="22"/>
          <w:highlight w:val="none"/>
        </w:rPr>
      </w:pPr>
    </w:p>
    <w:p w14:paraId="5F931A78">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甲乙双方于</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年</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月</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日签署了《……合同》（以下简称原合同），为加强双方阳光合作，保证职员职业安全，甲乙双方经协商签订本协议并作为双方共同遵守的阳光合作行为准则。</w:t>
      </w:r>
    </w:p>
    <w:p w14:paraId="57297122">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一、甲方责任</w:t>
      </w:r>
    </w:p>
    <w:p w14:paraId="3D0E9D79">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1、甲方有责任向乙方介绍本单位有关采购管理通用原则和本协议的规定。</w:t>
      </w:r>
    </w:p>
    <w:p w14:paraId="33FA5C6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2、甲方有责任对本单位相关人员进行阳光合作教育。</w:t>
      </w:r>
    </w:p>
    <w:p w14:paraId="01244F35">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526DDA30">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4、甲方人员如违反阳光合作管理制度及本协议规定，甲方视情节轻重、影响大小给予行政及经济处罚。</w:t>
      </w:r>
    </w:p>
    <w:p w14:paraId="538F933B">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5、对于乙方举报甲方人员违反阳光合作规定的情况，甲方应及时进行调查，根据调查情况进行处理，并将调查结果向乙方反馈。</w:t>
      </w:r>
    </w:p>
    <w:p w14:paraId="649AE5FC">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6、接受举报的一方应为举报方保密，不得对举报方进行报复，对举报属实和严格遵守《阳光合作协议》的合作方，在同等条件下给予后续合作的优先权。</w:t>
      </w:r>
    </w:p>
    <w:p w14:paraId="7865FDBB">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二、乙方责任</w:t>
      </w:r>
    </w:p>
    <w:p w14:paraId="0C9DD134">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1、乙方应保证乙方人员了解甲方有关采购管理通用原则和及本协议的规定，并遵照执行。</w:t>
      </w:r>
    </w:p>
    <w:p w14:paraId="43D4B6C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2、乙方不得以任何形式给予甲方人员回扣、赠送实物、现金、有价证券、礼券等有价物品或提供旅游等其他可能影响职务行为公正履行的活动（以下统称“财物”）。</w:t>
      </w:r>
    </w:p>
    <w:p w14:paraId="65844B1D">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3、乙方有责任接受甲方对乙方在合作期间阳光合作管理执行情况的监督，并对甲方相关调查工作主动配合。</w:t>
      </w:r>
    </w:p>
    <w:p w14:paraId="7C107EC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4、乙方有义务就甲方人员任何形式的索取或收受财物行为及时向甲方（直接联系人为东莞实业投资控股集团有限公司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4153C44B">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5、甲方接受乙方实名或匿名举报，保证为举报者的信息保密，常设举报部门及电话： </w:t>
      </w:r>
    </w:p>
    <w:p w14:paraId="1791843B">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举报受理部门：东莞实业投资控股集团有限公司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w:t>
      </w:r>
    </w:p>
    <w:p w14:paraId="266B0E23">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东实集团举报邮箱：dgsyxf@163.com</w:t>
      </w:r>
    </w:p>
    <w:p w14:paraId="287AAC6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东实集团举报电话：0769-28820703（周一至周五9：00-12：00和14：00-18：00）</w:t>
      </w:r>
    </w:p>
    <w:p w14:paraId="1E6005E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邮寄地址：东莞市东城区八一路1号机关二号大院9号楼，东莞实业投资控股集团有限公司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部收，邮编523000。</w:t>
      </w:r>
    </w:p>
    <w:p w14:paraId="00272F01">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三、其他</w:t>
      </w:r>
    </w:p>
    <w:p w14:paraId="71199CEA">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1、本协议是原合同的补充协议，与原合同有同等法律效力。</w:t>
      </w:r>
    </w:p>
    <w:p w14:paraId="7BB0DFC5">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2、本协议一式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份，乙方执贰份,具有同等法律效力。</w:t>
      </w:r>
    </w:p>
    <w:p w14:paraId="112EDDAC">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3、本协议经双方签署后生效。</w:t>
      </w:r>
    </w:p>
    <w:p w14:paraId="440331B6">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54D7BD12">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甲方（盖章）：                      乙方（盖章）： </w:t>
      </w:r>
    </w:p>
    <w:p w14:paraId="36DF19E5">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44E6F321">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法定代表人（授权代表）：</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法定代表人（授权代表）：</w:t>
      </w:r>
    </w:p>
    <w:p w14:paraId="2010C404">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77AC6A77">
      <w:pPr>
        <w:pStyle w:val="29"/>
        <w:numPr>
          <w:ilvl w:val="0"/>
          <w:numId w:val="0"/>
        </w:numPr>
        <w:spacing w:line="360" w:lineRule="auto"/>
        <w:ind w:leftChars="0" w:firstLine="440" w:firstLineChars="200"/>
        <w:outlineLvl w:val="1"/>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签约日期：   年   月   日</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w:t>
      </w:r>
      <w:r>
        <w:rPr>
          <w:rFonts w:hint="eastAsia" w:ascii="宋体" w:hAnsi="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签约日期：   年   月   日</w:t>
      </w:r>
    </w:p>
    <w:p w14:paraId="355EACC4">
      <w:pPr>
        <w:rPr>
          <w:rFonts w:hint="eastAsia"/>
        </w:rPr>
      </w:pPr>
      <w:r>
        <w:rPr>
          <w:rFonts w:hint="eastAsia"/>
        </w:rPr>
        <w:br w:type="page"/>
      </w:r>
    </w:p>
    <w:p w14:paraId="222901E3">
      <w:pPr>
        <w:rPr>
          <w:rFonts w:hint="eastAsia"/>
        </w:rPr>
      </w:pPr>
    </w:p>
    <w:p w14:paraId="14CF69A9">
      <w:pPr>
        <w:widowControl w:val="0"/>
        <w:adjustRightInd/>
        <w:snapToGrid/>
        <w:spacing w:line="360" w:lineRule="auto"/>
        <w:jc w:val="both"/>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rPr>
        <w:t xml:space="preserve">甲方合同编号： </w:t>
      </w:r>
    </w:p>
    <w:p w14:paraId="3A816440">
      <w:pPr>
        <w:widowControl w:val="0"/>
        <w:adjustRightInd/>
        <w:snapToGrid/>
        <w:spacing w:line="360" w:lineRule="auto"/>
        <w:jc w:val="both"/>
        <w:rPr>
          <w:rFonts w:hint="eastAsia" w:ascii="宋体" w:hAnsi="宋体" w:eastAsia="宋体" w:cs="宋体"/>
          <w:color w:val="auto"/>
          <w:spacing w:val="5"/>
          <w:kern w:val="2"/>
          <w:sz w:val="21"/>
          <w:szCs w:val="21"/>
          <w:highlight w:val="none"/>
        </w:rPr>
      </w:pPr>
      <w:r>
        <w:rPr>
          <w:rFonts w:hint="eastAsia" w:ascii="宋体" w:hAnsi="宋体" w:eastAsia="宋体" w:cs="宋体"/>
          <w:color w:val="auto"/>
          <w:kern w:val="2"/>
          <w:sz w:val="21"/>
          <w:szCs w:val="21"/>
          <w:highlight w:val="none"/>
        </w:rPr>
        <w:t>乙方合同编号：</w:t>
      </w:r>
    </w:p>
    <w:p w14:paraId="12CED3DC">
      <w:pPr>
        <w:widowControl w:val="0"/>
        <w:adjustRightInd/>
        <w:snapToGrid/>
        <w:spacing w:line="360" w:lineRule="auto"/>
        <w:jc w:val="both"/>
        <w:rPr>
          <w:rFonts w:hint="eastAsia" w:ascii="宋体" w:hAnsi="宋体" w:eastAsia="宋体" w:cs="宋体"/>
          <w:b/>
          <w:bCs/>
          <w:color w:val="auto"/>
          <w:kern w:val="2"/>
          <w:sz w:val="36"/>
          <w:szCs w:val="36"/>
          <w:highlight w:val="none"/>
        </w:rPr>
      </w:pPr>
    </w:p>
    <w:p w14:paraId="452499A1">
      <w:pPr>
        <w:widowControl w:val="0"/>
        <w:adjustRightInd/>
        <w:snapToGrid w:val="0"/>
        <w:spacing w:line="360" w:lineRule="auto"/>
        <w:jc w:val="center"/>
        <w:rPr>
          <w:rFonts w:hint="eastAsia" w:ascii="宋体" w:hAnsi="宋体" w:eastAsia="宋体" w:cs="宋体"/>
          <w:color w:val="auto"/>
          <w:kern w:val="2"/>
          <w:sz w:val="21"/>
          <w:szCs w:val="24"/>
          <w:highlight w:val="none"/>
        </w:rPr>
      </w:pPr>
    </w:p>
    <w:p w14:paraId="007420E1">
      <w:pPr>
        <w:widowControl w:val="0"/>
        <w:adjustRightInd/>
        <w:snapToGrid w:val="0"/>
        <w:spacing w:line="360" w:lineRule="auto"/>
        <w:jc w:val="center"/>
        <w:rPr>
          <w:rFonts w:hint="eastAsia" w:ascii="宋体" w:hAnsi="宋体" w:eastAsia="宋体" w:cs="宋体"/>
          <w:bCs/>
          <w:color w:val="auto"/>
          <w:kern w:val="2"/>
          <w:sz w:val="48"/>
          <w:szCs w:val="48"/>
          <w:highlight w:val="none"/>
        </w:rPr>
      </w:pPr>
    </w:p>
    <w:p w14:paraId="5E0C1355">
      <w:pPr>
        <w:widowControl w:val="0"/>
        <w:adjustRightInd/>
        <w:snapToGrid/>
        <w:spacing w:after="120" w:line="360" w:lineRule="auto"/>
        <w:jc w:val="both"/>
        <w:rPr>
          <w:rFonts w:hint="eastAsia" w:ascii="宋体" w:hAnsi="宋体" w:eastAsia="宋体" w:cs="宋体"/>
          <w:color w:val="auto"/>
          <w:kern w:val="2"/>
          <w:sz w:val="21"/>
          <w:szCs w:val="24"/>
          <w:highlight w:val="none"/>
        </w:rPr>
      </w:pPr>
    </w:p>
    <w:p w14:paraId="53317722">
      <w:pPr>
        <w:widowControl w:val="0"/>
        <w:adjustRightInd/>
        <w:snapToGrid/>
        <w:spacing w:after="120" w:line="360" w:lineRule="auto"/>
        <w:jc w:val="both"/>
        <w:rPr>
          <w:rFonts w:hint="eastAsia" w:ascii="宋体" w:hAnsi="宋体" w:eastAsia="宋体" w:cs="宋体"/>
          <w:color w:val="auto"/>
          <w:kern w:val="2"/>
          <w:sz w:val="21"/>
          <w:szCs w:val="24"/>
          <w:highlight w:val="none"/>
        </w:rPr>
      </w:pPr>
    </w:p>
    <w:p w14:paraId="505E3340">
      <w:pPr>
        <w:widowControl w:val="0"/>
        <w:adjustRightInd/>
        <w:snapToGrid w:val="0"/>
        <w:spacing w:line="360" w:lineRule="auto"/>
        <w:jc w:val="center"/>
        <w:rPr>
          <w:rFonts w:hint="eastAsia" w:ascii="宋体" w:hAnsi="宋体" w:eastAsia="宋体" w:cs="宋体"/>
          <w:bCs/>
          <w:color w:val="auto"/>
          <w:kern w:val="2"/>
          <w:sz w:val="48"/>
          <w:szCs w:val="48"/>
          <w:highlight w:val="none"/>
        </w:rPr>
      </w:pPr>
      <w:r>
        <w:rPr>
          <w:rFonts w:hint="eastAsia" w:ascii="宋体" w:hAnsi="宋体" w:eastAsia="宋体" w:cs="宋体"/>
          <w:bCs/>
          <w:color w:val="auto"/>
          <w:kern w:val="2"/>
          <w:sz w:val="48"/>
          <w:szCs w:val="48"/>
          <w:highlight w:val="none"/>
        </w:rPr>
        <w:t>东莞市海心沙资源综合利用中心环保热电厂</w:t>
      </w:r>
      <w:r>
        <w:rPr>
          <w:rFonts w:hint="eastAsia" w:ascii="宋体" w:hAnsi="宋体" w:eastAsia="宋体" w:cs="宋体"/>
          <w:b w:val="0"/>
          <w:bCs w:val="0"/>
          <w:color w:val="auto"/>
          <w:kern w:val="2"/>
          <w:sz w:val="48"/>
          <w:szCs w:val="48"/>
          <w:highlight w:val="none"/>
          <w:lang w:bidi="he-IL"/>
        </w:rPr>
        <w:t>水处理生产药剂</w:t>
      </w:r>
      <w:r>
        <w:rPr>
          <w:rFonts w:hint="eastAsia" w:ascii="宋体" w:hAnsi="宋体" w:eastAsia="宋体" w:cs="宋体"/>
          <w:bCs/>
          <w:color w:val="auto"/>
          <w:kern w:val="2"/>
          <w:sz w:val="48"/>
          <w:szCs w:val="48"/>
          <w:highlight w:val="none"/>
        </w:rPr>
        <w:t>采购合同</w:t>
      </w:r>
    </w:p>
    <w:p w14:paraId="28B3F98D">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64605829">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53BF50D3">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25DD80B">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BBCA3BE">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50F7F4F3">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5D84C2C1">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2B5C0C81">
      <w:pPr>
        <w:widowControl w:val="0"/>
        <w:adjustRightInd/>
        <w:snapToGrid w:val="0"/>
        <w:spacing w:line="360" w:lineRule="auto"/>
        <w:ind w:firstLine="420" w:firstLineChars="200"/>
        <w:jc w:val="both"/>
        <w:rPr>
          <w:rFonts w:hint="eastAsia" w:ascii="宋体" w:hAnsi="宋体" w:eastAsia="宋体" w:cs="宋体"/>
          <w:color w:val="auto"/>
          <w:kern w:val="2"/>
          <w:sz w:val="21"/>
          <w:szCs w:val="24"/>
          <w:highlight w:val="none"/>
        </w:rPr>
      </w:pPr>
    </w:p>
    <w:p w14:paraId="38BFA446">
      <w:pPr>
        <w:widowControl w:val="0"/>
        <w:adjustRightInd/>
        <w:snapToGrid w:val="0"/>
        <w:spacing w:line="360" w:lineRule="auto"/>
        <w:jc w:val="both"/>
        <w:rPr>
          <w:rFonts w:hint="eastAsia" w:ascii="宋体" w:hAnsi="宋体" w:eastAsia="宋体" w:cs="宋体"/>
          <w:color w:val="auto"/>
          <w:kern w:val="2"/>
          <w:sz w:val="21"/>
          <w:szCs w:val="24"/>
          <w:highlight w:val="none"/>
        </w:rPr>
      </w:pPr>
    </w:p>
    <w:p w14:paraId="4128F968">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r>
        <w:rPr>
          <w:rFonts w:hint="eastAsia" w:ascii="宋体" w:hAnsi="宋体" w:eastAsia="宋体" w:cs="宋体"/>
          <w:color w:val="auto"/>
          <w:kern w:val="2"/>
          <w:sz w:val="32"/>
          <w:szCs w:val="32"/>
          <w:highlight w:val="none"/>
        </w:rPr>
        <w:t>甲方：</w:t>
      </w:r>
      <w:r>
        <w:rPr>
          <w:rFonts w:hint="eastAsia" w:ascii="宋体" w:hAnsi="宋体" w:eastAsia="宋体" w:cs="宋体"/>
          <w:color w:val="auto"/>
          <w:kern w:val="2"/>
          <w:sz w:val="32"/>
          <w:szCs w:val="32"/>
          <w:highlight w:val="none"/>
          <w:u w:val="single"/>
        </w:rPr>
        <w:t>东莞市新东元环保投资有限公司</w:t>
      </w:r>
    </w:p>
    <w:p w14:paraId="797C778E">
      <w:pPr>
        <w:widowControl w:val="0"/>
        <w:adjustRightInd/>
        <w:snapToGrid w:val="0"/>
        <w:spacing w:line="360" w:lineRule="auto"/>
        <w:ind w:firstLine="640" w:firstLineChars="200"/>
        <w:jc w:val="both"/>
        <w:rPr>
          <w:rFonts w:hint="eastAsia" w:ascii="宋体" w:hAnsi="宋体" w:eastAsia="宋体" w:cs="宋体"/>
          <w:b/>
          <w:color w:val="auto"/>
          <w:kern w:val="2"/>
          <w:sz w:val="32"/>
          <w:szCs w:val="32"/>
          <w:highlight w:val="none"/>
        </w:rPr>
      </w:pPr>
      <w:r>
        <w:rPr>
          <w:rFonts w:hint="eastAsia" w:ascii="宋体" w:hAnsi="宋体" w:eastAsia="宋体" w:cs="宋体"/>
          <w:color w:val="auto"/>
          <w:kern w:val="2"/>
          <w:sz w:val="32"/>
          <w:szCs w:val="32"/>
          <w:highlight w:val="none"/>
        </w:rPr>
        <w:t>乙方：</w:t>
      </w:r>
    </w:p>
    <w:p w14:paraId="756FF69D">
      <w:pPr>
        <w:widowControl w:val="0"/>
        <w:adjustRightInd/>
        <w:snapToGrid w:val="0"/>
        <w:spacing w:line="360" w:lineRule="auto"/>
        <w:ind w:firstLine="640" w:firstLineChars="200"/>
        <w:jc w:val="both"/>
        <w:rPr>
          <w:rFonts w:hint="eastAsia" w:ascii="宋体" w:hAnsi="宋体" w:eastAsia="宋体" w:cs="宋体"/>
          <w:color w:val="auto"/>
          <w:kern w:val="2"/>
          <w:sz w:val="32"/>
          <w:szCs w:val="32"/>
          <w:highlight w:val="none"/>
          <w:u w:val="single"/>
        </w:rPr>
      </w:pPr>
    </w:p>
    <w:p w14:paraId="3EFAC4C9">
      <w:pPr>
        <w:widowControl w:val="0"/>
        <w:adjustRightInd/>
        <w:snapToGrid/>
        <w:spacing w:after="120" w:line="240" w:lineRule="auto"/>
        <w:jc w:val="both"/>
        <w:rPr>
          <w:rFonts w:hint="eastAsia" w:ascii="宋体" w:hAnsi="宋体" w:eastAsia="宋体" w:cs="宋体"/>
          <w:color w:val="auto"/>
          <w:kern w:val="2"/>
          <w:sz w:val="21"/>
          <w:szCs w:val="24"/>
          <w:highlight w:val="none"/>
        </w:rPr>
      </w:pPr>
    </w:p>
    <w:p w14:paraId="6D97EAD1">
      <w:pPr>
        <w:widowControl w:val="0"/>
        <w:adjustRightInd/>
        <w:snapToGrid/>
        <w:spacing w:line="240" w:lineRule="auto"/>
        <w:jc w:val="cente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32"/>
          <w:szCs w:val="32"/>
          <w:highlight w:val="none"/>
        </w:rPr>
        <w:t>二○二  年  月  日</w:t>
      </w:r>
    </w:p>
    <w:p w14:paraId="5931E776">
      <w:pPr>
        <w:widowControl w:val="0"/>
        <w:adjustRightInd/>
        <w:snapToGrid/>
        <w:spacing w:line="240" w:lineRule="auto"/>
        <w:jc w:val="both"/>
        <w:rPr>
          <w:rFonts w:hint="eastAsia" w:ascii="宋体" w:hAnsi="宋体" w:eastAsia="宋体" w:cs="宋体"/>
          <w:color w:val="auto"/>
          <w:kern w:val="2"/>
          <w:sz w:val="21"/>
          <w:szCs w:val="24"/>
          <w:highlight w:val="none"/>
        </w:rPr>
      </w:pPr>
    </w:p>
    <w:p w14:paraId="68D12947">
      <w:pPr>
        <w:widowControl w:val="0"/>
        <w:adjustRightInd/>
        <w:snapToGrid/>
        <w:spacing w:line="240" w:lineRule="auto"/>
        <w:jc w:val="both"/>
        <w:rPr>
          <w:rFonts w:hint="eastAsia" w:ascii="宋体" w:hAnsi="宋体" w:eastAsia="宋体" w:cs="宋体"/>
          <w:color w:val="auto"/>
          <w:kern w:val="2"/>
          <w:sz w:val="21"/>
          <w:szCs w:val="24"/>
          <w:highlight w:val="none"/>
        </w:rPr>
      </w:pPr>
    </w:p>
    <w:p w14:paraId="517FC443">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b/>
          <w:snapToGrid w:val="0"/>
          <w:color w:val="auto"/>
          <w:kern w:val="2"/>
          <w:sz w:val="22"/>
          <w:szCs w:val="22"/>
          <w:highlight w:val="none"/>
        </w:rPr>
        <w:t>甲方（买方）：</w:t>
      </w:r>
    </w:p>
    <w:p w14:paraId="3D740760">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35BBD991">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536A33BA">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009CAB00">
      <w:pPr>
        <w:widowControl w:val="0"/>
        <w:adjustRightInd w:val="0"/>
        <w:snapToGrid w:val="0"/>
        <w:spacing w:line="400" w:lineRule="exact"/>
        <w:jc w:val="both"/>
        <w:rPr>
          <w:rFonts w:hint="eastAsia" w:ascii="宋体" w:hAnsi="宋体" w:eastAsia="宋体" w:cs="宋体"/>
          <w:b/>
          <w:snapToGrid w:val="0"/>
          <w:color w:val="auto"/>
          <w:kern w:val="2"/>
          <w:sz w:val="22"/>
          <w:szCs w:val="22"/>
          <w:highlight w:val="none"/>
        </w:rPr>
      </w:pPr>
    </w:p>
    <w:p w14:paraId="52360ED2">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snapToGrid w:val="0"/>
          <w:color w:val="auto"/>
          <w:kern w:val="2"/>
          <w:sz w:val="22"/>
          <w:szCs w:val="22"/>
          <w:highlight w:val="none"/>
        </w:rPr>
        <w:t>乙方（卖方）：</w:t>
      </w:r>
    </w:p>
    <w:p w14:paraId="44992FFF">
      <w:pPr>
        <w:widowControl w:val="0"/>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法定代表人：</w:t>
      </w:r>
    </w:p>
    <w:p w14:paraId="5FE0F47A">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通讯地址：</w:t>
      </w:r>
    </w:p>
    <w:p w14:paraId="7DDE5FD7">
      <w:pPr>
        <w:widowControl w:val="0"/>
        <w:tabs>
          <w:tab w:val="right" w:pos="8306"/>
        </w:tabs>
        <w:adjustRightInd w:val="0"/>
        <w:snapToGrid w:val="0"/>
        <w:spacing w:line="400" w:lineRule="exact"/>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联系人：               联系电话：             电子邮件：</w:t>
      </w:r>
    </w:p>
    <w:p w14:paraId="53EBDA60">
      <w:pPr>
        <w:widowControl w:val="0"/>
        <w:tabs>
          <w:tab w:val="right" w:pos="8306"/>
        </w:tabs>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p>
    <w:p w14:paraId="1A9FBAA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本合同双方根据《民法典》、《产品质量法》等有关法律、法规规定，经充分协商，现就甲方向乙方采购相关货物事宜达成以下协议：</w:t>
      </w:r>
    </w:p>
    <w:p w14:paraId="6BC0EE5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5880C7D7">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6" w:name="_Toc25776"/>
      <w:r>
        <w:rPr>
          <w:rFonts w:hint="eastAsia" w:ascii="宋体" w:hAnsi="宋体" w:eastAsia="宋体" w:cs="宋体"/>
          <w:b/>
          <w:color w:val="auto"/>
          <w:kern w:val="2"/>
          <w:sz w:val="22"/>
          <w:szCs w:val="22"/>
          <w:highlight w:val="none"/>
        </w:rPr>
        <w:t>第一条  采购货物清单及合同价款</w:t>
      </w:r>
      <w:bookmarkEnd w:id="56"/>
    </w:p>
    <w:tbl>
      <w:tblPr>
        <w:tblStyle w:val="16"/>
        <w:tblW w:w="91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9"/>
        <w:gridCol w:w="1125"/>
        <w:gridCol w:w="1382"/>
        <w:gridCol w:w="1112"/>
        <w:gridCol w:w="796"/>
        <w:gridCol w:w="1405"/>
        <w:gridCol w:w="1273"/>
        <w:gridCol w:w="1359"/>
      </w:tblGrid>
      <w:tr w14:paraId="5E1C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54" w:hRule="atLeast"/>
          <w:jc w:val="center"/>
        </w:trPr>
        <w:tc>
          <w:tcPr>
            <w:tcW w:w="679" w:type="dxa"/>
            <w:noWrap w:val="0"/>
            <w:vAlign w:val="center"/>
          </w:tcPr>
          <w:p w14:paraId="498B4B45">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序号</w:t>
            </w:r>
          </w:p>
        </w:tc>
        <w:tc>
          <w:tcPr>
            <w:tcW w:w="1125" w:type="dxa"/>
            <w:noWrap w:val="0"/>
            <w:vAlign w:val="center"/>
          </w:tcPr>
          <w:p w14:paraId="50BF2F98">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物资名称</w:t>
            </w:r>
          </w:p>
        </w:tc>
        <w:tc>
          <w:tcPr>
            <w:tcW w:w="1382" w:type="dxa"/>
            <w:noWrap w:val="0"/>
            <w:vAlign w:val="center"/>
          </w:tcPr>
          <w:p w14:paraId="13D861D9">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规格</w:t>
            </w:r>
          </w:p>
        </w:tc>
        <w:tc>
          <w:tcPr>
            <w:tcW w:w="1112" w:type="dxa"/>
            <w:noWrap w:val="0"/>
            <w:vAlign w:val="center"/>
          </w:tcPr>
          <w:p w14:paraId="276CDA3B">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计量</w:t>
            </w:r>
          </w:p>
          <w:p w14:paraId="33A8434E">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单位</w:t>
            </w:r>
          </w:p>
        </w:tc>
        <w:tc>
          <w:tcPr>
            <w:tcW w:w="796" w:type="dxa"/>
            <w:noWrap w:val="0"/>
            <w:vAlign w:val="center"/>
          </w:tcPr>
          <w:p w14:paraId="055D908F">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计划数量</w:t>
            </w:r>
          </w:p>
        </w:tc>
        <w:tc>
          <w:tcPr>
            <w:tcW w:w="1405" w:type="dxa"/>
            <w:noWrap w:val="0"/>
            <w:vAlign w:val="center"/>
          </w:tcPr>
          <w:p w14:paraId="621BFD84">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到货单价</w:t>
            </w:r>
          </w:p>
          <w:p w14:paraId="5223BE59">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273" w:type="dxa"/>
            <w:noWrap w:val="0"/>
            <w:vAlign w:val="center"/>
          </w:tcPr>
          <w:p w14:paraId="61358435">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小计</w:t>
            </w:r>
          </w:p>
          <w:p w14:paraId="426BD403">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（含税）</w:t>
            </w:r>
          </w:p>
        </w:tc>
        <w:tc>
          <w:tcPr>
            <w:tcW w:w="1359" w:type="dxa"/>
            <w:noWrap w:val="0"/>
            <w:vAlign w:val="center"/>
          </w:tcPr>
          <w:p w14:paraId="34DED2A0">
            <w:pPr>
              <w:widowControl w:val="0"/>
              <w:adjustRightInd w:val="0"/>
              <w:snapToGrid w:val="0"/>
              <w:spacing w:line="400" w:lineRule="exact"/>
              <w:jc w:val="center"/>
              <w:rPr>
                <w:rFonts w:hint="eastAsia" w:ascii="宋体" w:hAnsi="宋体" w:eastAsia="宋体" w:cs="宋体"/>
                <w:b/>
                <w:color w:val="auto"/>
                <w:sz w:val="22"/>
                <w:szCs w:val="20"/>
                <w:highlight w:val="none"/>
              </w:rPr>
            </w:pPr>
            <w:r>
              <w:rPr>
                <w:rFonts w:hint="eastAsia" w:ascii="宋体" w:hAnsi="宋体" w:eastAsia="宋体" w:cs="宋体"/>
                <w:b/>
                <w:color w:val="auto"/>
                <w:sz w:val="22"/>
                <w:szCs w:val="20"/>
                <w:highlight w:val="none"/>
              </w:rPr>
              <w:t>备注</w:t>
            </w:r>
          </w:p>
        </w:tc>
      </w:tr>
      <w:tr w14:paraId="103D4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679" w:type="dxa"/>
            <w:noWrap w:val="0"/>
            <w:vAlign w:val="center"/>
          </w:tcPr>
          <w:p w14:paraId="5A515176">
            <w:pPr>
              <w:widowControl w:val="0"/>
              <w:adjustRightInd w:val="0"/>
              <w:snapToGrid w:val="0"/>
              <w:spacing w:line="400" w:lineRule="exact"/>
              <w:jc w:val="center"/>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1</w:t>
            </w:r>
          </w:p>
        </w:tc>
        <w:tc>
          <w:tcPr>
            <w:tcW w:w="1125" w:type="dxa"/>
            <w:noWrap w:val="0"/>
            <w:vAlign w:val="center"/>
          </w:tcPr>
          <w:p w14:paraId="6F5DF0F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82" w:type="dxa"/>
            <w:noWrap w:val="0"/>
            <w:vAlign w:val="center"/>
          </w:tcPr>
          <w:p w14:paraId="08DF8E62">
            <w:pPr>
              <w:widowControl w:val="0"/>
              <w:adjustRightInd w:val="0"/>
              <w:snapToGrid w:val="0"/>
              <w:spacing w:line="400" w:lineRule="exact"/>
              <w:jc w:val="both"/>
              <w:rPr>
                <w:rFonts w:hint="eastAsia" w:ascii="宋体" w:hAnsi="宋体" w:eastAsia="宋体" w:cs="宋体"/>
                <w:color w:val="auto"/>
                <w:sz w:val="22"/>
                <w:szCs w:val="20"/>
                <w:highlight w:val="none"/>
              </w:rPr>
            </w:pPr>
          </w:p>
        </w:tc>
        <w:tc>
          <w:tcPr>
            <w:tcW w:w="1112" w:type="dxa"/>
            <w:noWrap w:val="0"/>
            <w:vAlign w:val="center"/>
          </w:tcPr>
          <w:p w14:paraId="2A0C88EA">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796" w:type="dxa"/>
            <w:noWrap w:val="0"/>
            <w:vAlign w:val="center"/>
          </w:tcPr>
          <w:p w14:paraId="47BD5965">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405" w:type="dxa"/>
            <w:noWrap w:val="0"/>
            <w:vAlign w:val="center"/>
          </w:tcPr>
          <w:p w14:paraId="438FB994">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273" w:type="dxa"/>
            <w:noWrap w:val="0"/>
            <w:vAlign w:val="center"/>
          </w:tcPr>
          <w:p w14:paraId="3B059DC6">
            <w:pPr>
              <w:widowControl w:val="0"/>
              <w:adjustRightInd w:val="0"/>
              <w:snapToGrid w:val="0"/>
              <w:spacing w:line="400" w:lineRule="exact"/>
              <w:jc w:val="center"/>
              <w:rPr>
                <w:rFonts w:hint="eastAsia" w:ascii="宋体" w:hAnsi="宋体" w:eastAsia="宋体" w:cs="宋体"/>
                <w:color w:val="auto"/>
                <w:sz w:val="22"/>
                <w:szCs w:val="20"/>
                <w:highlight w:val="none"/>
              </w:rPr>
            </w:pPr>
          </w:p>
        </w:tc>
        <w:tc>
          <w:tcPr>
            <w:tcW w:w="1359" w:type="dxa"/>
            <w:noWrap w:val="0"/>
            <w:vAlign w:val="center"/>
          </w:tcPr>
          <w:p w14:paraId="027ACEE8">
            <w:pPr>
              <w:widowControl w:val="0"/>
              <w:adjustRightInd w:val="0"/>
              <w:snapToGrid w:val="0"/>
              <w:spacing w:line="400" w:lineRule="exact"/>
              <w:jc w:val="center"/>
              <w:rPr>
                <w:rFonts w:hint="eastAsia" w:ascii="宋体" w:hAnsi="宋体" w:eastAsia="宋体" w:cs="宋体"/>
                <w:color w:val="auto"/>
                <w:sz w:val="22"/>
                <w:szCs w:val="20"/>
                <w:highlight w:val="none"/>
              </w:rPr>
            </w:pPr>
          </w:p>
        </w:tc>
      </w:tr>
      <w:tr w14:paraId="3B70A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jc w:val="center"/>
        </w:trPr>
        <w:tc>
          <w:tcPr>
            <w:tcW w:w="9131" w:type="dxa"/>
            <w:gridSpan w:val="8"/>
            <w:noWrap w:val="0"/>
            <w:vAlign w:val="center"/>
          </w:tcPr>
          <w:p w14:paraId="23442DE3">
            <w:pPr>
              <w:widowControl w:val="0"/>
              <w:adjustRightInd w:val="0"/>
              <w:snapToGrid w:val="0"/>
              <w:spacing w:line="400" w:lineRule="exact"/>
              <w:jc w:val="both"/>
              <w:rPr>
                <w:rFonts w:hint="eastAsia" w:ascii="宋体" w:hAnsi="宋体" w:eastAsia="宋体" w:cs="宋体"/>
                <w:color w:val="auto"/>
                <w:sz w:val="22"/>
                <w:szCs w:val="20"/>
                <w:highlight w:val="none"/>
              </w:rPr>
            </w:pPr>
            <w:r>
              <w:rPr>
                <w:rFonts w:hint="eastAsia" w:ascii="宋体" w:hAnsi="宋体" w:eastAsia="宋体" w:cs="宋体"/>
                <w:b/>
                <w:color w:val="auto"/>
                <w:sz w:val="22"/>
                <w:szCs w:val="20"/>
                <w:highlight w:val="none"/>
              </w:rPr>
              <w:t>注：1、</w:t>
            </w:r>
            <w:r>
              <w:rPr>
                <w:rFonts w:hint="eastAsia" w:ascii="宋体" w:hAnsi="宋体" w:eastAsia="宋体" w:cs="宋体"/>
                <w:color w:val="auto"/>
                <w:sz w:val="22"/>
                <w:szCs w:val="20"/>
                <w:highlight w:val="none"/>
              </w:rPr>
              <w:t>到货单价已包含</w:t>
            </w:r>
            <w:r>
              <w:rPr>
                <w:rFonts w:hint="eastAsia" w:ascii="宋体" w:hAnsi="宋体" w:eastAsia="宋体" w:cs="宋体"/>
                <w:color w:val="auto"/>
                <w:sz w:val="22"/>
                <w:szCs w:val="20"/>
                <w:highlight w:val="none"/>
                <w:u w:val="single"/>
              </w:rPr>
              <w:t xml:space="preserve">    % </w:t>
            </w:r>
            <w:r>
              <w:rPr>
                <w:rFonts w:hint="eastAsia" w:ascii="宋体" w:hAnsi="宋体" w:eastAsia="宋体" w:cs="宋体"/>
                <w:color w:val="auto"/>
                <w:sz w:val="22"/>
                <w:szCs w:val="20"/>
                <w:highlight w:val="none"/>
              </w:rPr>
              <w:t xml:space="preserve">增值税专用发票。到货单价包括但不限于货物生产前准备、生产、运输（运输到业主指定交货地点）、燃料费、司机人员工资、转运、保护、装卸、保险、相关税费、验收（含出厂及到货验收）、质量抽检、售后及技术服务（包括质保期保障等）等的全部费用。本合同不含税价格不因国家税率变化而变化，在合同履行期间，如遇国家的税率调整，则调整时点后尚未结算部分的价款（价税合计）应根据原不含税价和调整后的税率重新计算，相应发票按调整后价格开具。 </w:t>
            </w:r>
          </w:p>
          <w:p w14:paraId="73FC3C4B">
            <w:pPr>
              <w:widowControl w:val="0"/>
              <w:adjustRightInd w:val="0"/>
              <w:snapToGrid w:val="0"/>
              <w:spacing w:line="400" w:lineRule="exact"/>
              <w:jc w:val="both"/>
              <w:rPr>
                <w:rFonts w:hint="eastAsia" w:ascii="宋体" w:hAnsi="宋体" w:eastAsia="宋体" w:cs="宋体"/>
                <w:bCs/>
                <w:color w:val="auto"/>
                <w:sz w:val="22"/>
                <w:szCs w:val="20"/>
                <w:highlight w:val="none"/>
              </w:rPr>
            </w:pPr>
            <w:r>
              <w:rPr>
                <w:rFonts w:hint="eastAsia" w:ascii="宋体" w:hAnsi="宋体" w:eastAsia="宋体" w:cs="宋体"/>
                <w:bCs/>
                <w:color w:val="auto"/>
                <w:sz w:val="22"/>
                <w:szCs w:val="20"/>
                <w:highlight w:val="none"/>
              </w:rPr>
              <w:t>2、上述数量为乙方计划供应数量。实际采购数量以甲方实际需求为准。具体每批送货数量以甲方通知为准。</w:t>
            </w:r>
          </w:p>
          <w:p w14:paraId="3437643F">
            <w:pPr>
              <w:widowControl w:val="0"/>
              <w:adjustRightInd w:val="0"/>
              <w:snapToGrid w:val="0"/>
              <w:spacing w:line="400" w:lineRule="exact"/>
              <w:jc w:val="both"/>
              <w:rPr>
                <w:rFonts w:hint="eastAsia" w:ascii="宋体" w:hAnsi="宋体" w:eastAsia="宋体" w:cs="宋体"/>
                <w:color w:val="auto"/>
                <w:sz w:val="22"/>
                <w:szCs w:val="20"/>
                <w:highlight w:val="none"/>
              </w:rPr>
            </w:pPr>
            <w:r>
              <w:rPr>
                <w:rFonts w:hint="eastAsia" w:ascii="宋体" w:hAnsi="宋体" w:eastAsia="宋体" w:cs="宋体"/>
                <w:bCs/>
                <w:color w:val="auto"/>
                <w:sz w:val="22"/>
                <w:szCs w:val="20"/>
                <w:highlight w:val="none"/>
              </w:rPr>
              <w:t>3、此价格</w:t>
            </w:r>
            <w:r>
              <w:rPr>
                <w:rFonts w:hint="eastAsia" w:ascii="宋体" w:hAnsi="宋体" w:eastAsia="宋体" w:cs="宋体"/>
                <w:color w:val="auto"/>
                <w:sz w:val="22"/>
                <w:szCs w:val="20"/>
                <w:highlight w:val="none"/>
              </w:rPr>
              <w:t>包括合同货物及相关的技术服务等费用，还包括合同货物的税费、所有货物包装费、运输费、装卸费、保险费等与本合同中乙方应承担的所有义务和所有工作的有关费用。</w:t>
            </w:r>
          </w:p>
        </w:tc>
      </w:tr>
    </w:tbl>
    <w:p w14:paraId="411C9710">
      <w:pPr>
        <w:widowControl w:val="0"/>
        <w:adjustRightInd w:val="0"/>
        <w:snapToGrid w:val="0"/>
        <w:spacing w:line="400" w:lineRule="exact"/>
        <w:ind w:firstLine="442" w:firstLineChars="200"/>
        <w:jc w:val="both"/>
        <w:rPr>
          <w:rFonts w:hint="eastAsia" w:ascii="宋体" w:hAnsi="宋体" w:eastAsia="宋体" w:cs="宋体"/>
          <w:b/>
          <w:bCs/>
          <w:color w:val="auto"/>
          <w:kern w:val="2"/>
          <w:sz w:val="22"/>
          <w:szCs w:val="22"/>
          <w:highlight w:val="none"/>
        </w:rPr>
      </w:pPr>
    </w:p>
    <w:p w14:paraId="10A52E89">
      <w:pPr>
        <w:widowControl w:val="0"/>
        <w:adjustRightInd w:val="0"/>
        <w:snapToGrid w:val="0"/>
        <w:spacing w:line="400" w:lineRule="exact"/>
        <w:ind w:firstLine="442" w:firstLineChars="200"/>
        <w:jc w:val="both"/>
        <w:rPr>
          <w:rFonts w:hint="eastAsia" w:ascii="宋体" w:hAnsi="宋体" w:eastAsia="宋体" w:cs="宋体"/>
          <w:color w:val="auto"/>
          <w:kern w:val="2"/>
          <w:sz w:val="22"/>
          <w:szCs w:val="22"/>
          <w:highlight w:val="none"/>
        </w:rPr>
      </w:pPr>
      <w:r>
        <w:rPr>
          <w:rFonts w:hint="eastAsia" w:ascii="宋体" w:hAnsi="宋体" w:eastAsia="宋体" w:cs="宋体"/>
          <w:b/>
          <w:color w:val="auto"/>
          <w:kern w:val="2"/>
          <w:sz w:val="22"/>
          <w:szCs w:val="22"/>
          <w:highlight w:val="none"/>
        </w:rPr>
        <w:t>第二条  质量标准及考核：货物的质量标准和性能应当同时满足下列要求：</w:t>
      </w:r>
    </w:p>
    <w:p w14:paraId="11D1F332">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1、双方约定的标准：</w:t>
      </w:r>
      <w:r>
        <w:rPr>
          <w:rFonts w:hint="eastAsia" w:ascii="宋体" w:hAnsi="宋体" w:eastAsia="宋体" w:cs="宋体"/>
          <w:color w:val="auto"/>
          <w:kern w:val="2"/>
          <w:sz w:val="22"/>
          <w:szCs w:val="22"/>
          <w:highlight w:val="none"/>
          <w:u w:val="single"/>
        </w:rPr>
        <w:t>以《技术需求书》约定为准。</w:t>
      </w:r>
    </w:p>
    <w:p w14:paraId="3501921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2、与双方确认的样品的质量相同。</w:t>
      </w:r>
    </w:p>
    <w:p w14:paraId="1B604B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3、国家标准、行业标准、地方标准、厂家标准中的最高标准。</w:t>
      </w:r>
    </w:p>
    <w:p w14:paraId="4378C66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4、合同附件技术协议书、用户需求、货物规格书、采购文件、</w:t>
      </w:r>
      <w:r>
        <w:rPr>
          <w:rFonts w:hint="eastAsia" w:ascii="宋体" w:hAnsi="宋体" w:cs="宋体"/>
          <w:color w:val="auto"/>
          <w:kern w:val="2"/>
          <w:sz w:val="22"/>
          <w:szCs w:val="22"/>
          <w:highlight w:val="none"/>
          <w:lang w:eastAsia="zh-CN"/>
        </w:rPr>
        <w:t>响应文件</w:t>
      </w:r>
      <w:r>
        <w:rPr>
          <w:rFonts w:hint="eastAsia" w:ascii="宋体" w:hAnsi="宋体" w:eastAsia="宋体" w:cs="宋体"/>
          <w:color w:val="auto"/>
          <w:kern w:val="2"/>
          <w:sz w:val="22"/>
          <w:szCs w:val="22"/>
          <w:highlight w:val="none"/>
        </w:rPr>
        <w:t>等文件（如有）约定的标准。</w:t>
      </w:r>
    </w:p>
    <w:p w14:paraId="759A22D8">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5、甲方按考核评分表对乙方供货质量、服务情况等进行季度考核。季度考核综合得分大于等于80分，甲方继续履行合同；季度考核综合得分小于80分，甲方有权解除合同。</w:t>
      </w:r>
    </w:p>
    <w:p w14:paraId="02FC3338">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6、季度总评考核结果：</w:t>
      </w:r>
    </w:p>
    <w:tbl>
      <w:tblPr>
        <w:tblStyle w:val="16"/>
        <w:tblW w:w="86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79"/>
        <w:gridCol w:w="2377"/>
        <w:gridCol w:w="3343"/>
      </w:tblGrid>
      <w:tr w14:paraId="5498A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9" w:type="dxa"/>
            <w:noWrap w:val="0"/>
            <w:vAlign w:val="top"/>
          </w:tcPr>
          <w:p w14:paraId="21F7C49A">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考核结果</w:t>
            </w:r>
          </w:p>
        </w:tc>
        <w:tc>
          <w:tcPr>
            <w:tcW w:w="2377" w:type="dxa"/>
            <w:noWrap w:val="0"/>
            <w:vAlign w:val="top"/>
          </w:tcPr>
          <w:p w14:paraId="5B00C645">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分值区间</w:t>
            </w:r>
          </w:p>
        </w:tc>
        <w:tc>
          <w:tcPr>
            <w:tcW w:w="3343" w:type="dxa"/>
            <w:noWrap w:val="0"/>
            <w:vAlign w:val="top"/>
          </w:tcPr>
          <w:p w14:paraId="5F36D851">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是否继续执行合同</w:t>
            </w:r>
          </w:p>
        </w:tc>
      </w:tr>
      <w:tr w14:paraId="33315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979" w:type="dxa"/>
            <w:noWrap w:val="0"/>
            <w:vAlign w:val="top"/>
          </w:tcPr>
          <w:p w14:paraId="558E304E">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合格</w:t>
            </w:r>
          </w:p>
        </w:tc>
        <w:tc>
          <w:tcPr>
            <w:tcW w:w="2377" w:type="dxa"/>
            <w:noWrap w:val="0"/>
            <w:vAlign w:val="top"/>
          </w:tcPr>
          <w:p w14:paraId="2D543F77">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43" w:type="dxa"/>
            <w:noWrap w:val="0"/>
            <w:vAlign w:val="top"/>
          </w:tcPr>
          <w:p w14:paraId="1EBA174D">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继续执行</w:t>
            </w:r>
          </w:p>
        </w:tc>
      </w:tr>
      <w:tr w14:paraId="338E6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979" w:type="dxa"/>
            <w:noWrap w:val="0"/>
            <w:vAlign w:val="top"/>
          </w:tcPr>
          <w:p w14:paraId="1825EF9B">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不合格</w:t>
            </w:r>
          </w:p>
        </w:tc>
        <w:tc>
          <w:tcPr>
            <w:tcW w:w="2377" w:type="dxa"/>
            <w:noWrap w:val="0"/>
            <w:vAlign w:val="top"/>
          </w:tcPr>
          <w:p w14:paraId="4D92C8A4">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综合得分＜80分</w:t>
            </w:r>
          </w:p>
        </w:tc>
        <w:tc>
          <w:tcPr>
            <w:tcW w:w="3343" w:type="dxa"/>
            <w:noWrap w:val="0"/>
            <w:vAlign w:val="top"/>
          </w:tcPr>
          <w:p w14:paraId="6096A42F">
            <w:pPr>
              <w:widowControl w:val="0"/>
              <w:adjustRightInd/>
              <w:snapToGrid/>
              <w:spacing w:line="400" w:lineRule="exact"/>
              <w:jc w:val="both"/>
              <w:rPr>
                <w:rFonts w:hint="eastAsia" w:ascii="宋体" w:hAnsi="宋体" w:eastAsia="宋体" w:cs="宋体"/>
                <w:color w:val="auto"/>
                <w:sz w:val="22"/>
                <w:szCs w:val="20"/>
                <w:highlight w:val="none"/>
              </w:rPr>
            </w:pPr>
            <w:r>
              <w:rPr>
                <w:rFonts w:hint="eastAsia" w:ascii="宋体" w:hAnsi="宋体" w:eastAsia="宋体" w:cs="宋体"/>
                <w:color w:val="auto"/>
                <w:sz w:val="22"/>
                <w:szCs w:val="20"/>
                <w:highlight w:val="none"/>
              </w:rPr>
              <w:t>任一次不合格有权解除合同</w:t>
            </w:r>
          </w:p>
        </w:tc>
      </w:tr>
    </w:tbl>
    <w:p w14:paraId="56AC30E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386369D9">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7" w:name="_Toc14633"/>
      <w:r>
        <w:rPr>
          <w:rFonts w:hint="eastAsia" w:ascii="宋体" w:hAnsi="宋体" w:eastAsia="宋体" w:cs="宋体"/>
          <w:b/>
          <w:color w:val="auto"/>
          <w:kern w:val="2"/>
          <w:sz w:val="22"/>
          <w:szCs w:val="22"/>
          <w:highlight w:val="none"/>
        </w:rPr>
        <w:t>第三条  质量保证期</w:t>
      </w:r>
      <w:bookmarkEnd w:id="57"/>
    </w:p>
    <w:p w14:paraId="10ECBB94">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1.质量保证期按</w:t>
      </w:r>
      <w:r>
        <w:rPr>
          <w:rFonts w:hint="eastAsia" w:ascii="宋体" w:hAnsi="宋体" w:eastAsia="宋体" w:cs="宋体"/>
          <w:color w:val="auto"/>
          <w:kern w:val="2"/>
          <w:sz w:val="22"/>
          <w:szCs w:val="22"/>
          <w:highlight w:val="none"/>
          <w:u w:val="single"/>
        </w:rPr>
        <w:t>（3）</w:t>
      </w:r>
      <w:r>
        <w:rPr>
          <w:rFonts w:hint="eastAsia" w:ascii="宋体" w:hAnsi="宋体" w:eastAsia="宋体" w:cs="宋体"/>
          <w:bCs/>
          <w:color w:val="auto"/>
          <w:kern w:val="2"/>
          <w:sz w:val="22"/>
          <w:szCs w:val="22"/>
          <w:highlight w:val="none"/>
        </w:rPr>
        <w:t>执行。</w:t>
      </w:r>
    </w:p>
    <w:p w14:paraId="730A194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bCs/>
          <w:color w:val="auto"/>
          <w:kern w:val="2"/>
          <w:sz w:val="22"/>
          <w:szCs w:val="22"/>
          <w:highlight w:val="none"/>
        </w:rPr>
        <w:t>（1）交付后</w:t>
      </w:r>
      <w:r>
        <w:rPr>
          <w:rFonts w:hint="eastAsia" w:ascii="宋体" w:hAnsi="宋体" w:eastAsia="宋体" w:cs="宋体"/>
          <w:color w:val="auto"/>
          <w:kern w:val="2"/>
          <w:sz w:val="22"/>
          <w:szCs w:val="22"/>
          <w:highlight w:val="none"/>
          <w:u w:val="single"/>
        </w:rPr>
        <w:t>﹨</w:t>
      </w:r>
      <w:r>
        <w:rPr>
          <w:rFonts w:hint="eastAsia" w:ascii="宋体" w:hAnsi="宋体" w:eastAsia="宋体" w:cs="宋体"/>
          <w:bCs/>
          <w:color w:val="auto"/>
          <w:kern w:val="2"/>
          <w:sz w:val="22"/>
          <w:szCs w:val="22"/>
          <w:highlight w:val="none"/>
        </w:rPr>
        <w:t>个月保质期；</w:t>
      </w:r>
      <w:r>
        <w:rPr>
          <w:rFonts w:hint="eastAsia" w:ascii="宋体" w:hAnsi="宋体" w:eastAsia="宋体" w:cs="宋体"/>
          <w:bCs/>
          <w:vanish/>
          <w:color w:val="auto"/>
          <w:kern w:val="2"/>
          <w:sz w:val="22"/>
          <w:szCs w:val="22"/>
          <w:highlight w:val="none"/>
        </w:rPr>
        <w:t>(</w:t>
      </w:r>
      <w:r>
        <w:rPr>
          <w:rFonts w:hint="eastAsia" w:ascii="宋体" w:hAnsi="宋体" w:eastAsia="宋体" w:cs="宋体"/>
          <w:bCs/>
          <w:color w:val="auto"/>
          <w:kern w:val="2"/>
          <w:sz w:val="22"/>
          <w:szCs w:val="22"/>
          <w:highlight w:val="none"/>
        </w:rPr>
        <w:t>2）</w:t>
      </w:r>
      <w:r>
        <w:rPr>
          <w:rFonts w:hint="eastAsia" w:ascii="宋体" w:hAnsi="宋体" w:eastAsia="宋体" w:cs="宋体"/>
          <w:color w:val="auto"/>
          <w:kern w:val="2"/>
          <w:sz w:val="22"/>
          <w:szCs w:val="22"/>
          <w:highlight w:val="none"/>
        </w:rPr>
        <w:t>正常运行</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个月；（3）初步验收合格之日起</w:t>
      </w:r>
      <w:r>
        <w:rPr>
          <w:rFonts w:hint="eastAsia" w:ascii="宋体" w:hAnsi="宋体" w:eastAsia="宋体" w:cs="宋体"/>
          <w:color w:val="auto"/>
          <w:kern w:val="2"/>
          <w:sz w:val="22"/>
          <w:szCs w:val="22"/>
          <w:highlight w:val="none"/>
          <w:u w:val="single"/>
        </w:rPr>
        <w:t>6</w:t>
      </w:r>
      <w:r>
        <w:rPr>
          <w:rFonts w:hint="eastAsia" w:ascii="宋体" w:hAnsi="宋体" w:eastAsia="宋体" w:cs="宋体"/>
          <w:color w:val="auto"/>
          <w:kern w:val="2"/>
          <w:sz w:val="22"/>
          <w:szCs w:val="22"/>
          <w:highlight w:val="none"/>
        </w:rPr>
        <w:t>个月；</w:t>
      </w:r>
    </w:p>
    <w:p w14:paraId="03553FD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2.如果乙方知道或者应当知道所出卖产品存在质量缺陷，所承担的质量保证期限不受前款质量负责期限的约束，应依法承担相应责任。</w:t>
      </w:r>
    </w:p>
    <w:p w14:paraId="6C629D5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4401448B">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8" w:name="_Toc6925"/>
      <w:r>
        <w:rPr>
          <w:rFonts w:hint="eastAsia" w:ascii="宋体" w:hAnsi="宋体" w:eastAsia="宋体" w:cs="宋体"/>
          <w:b/>
          <w:color w:val="auto"/>
          <w:kern w:val="2"/>
          <w:sz w:val="22"/>
          <w:szCs w:val="22"/>
          <w:highlight w:val="none"/>
        </w:rPr>
        <w:t>第四条  包装标准、包装物的供应与回收</w:t>
      </w:r>
      <w:bookmarkEnd w:id="58"/>
    </w:p>
    <w:p w14:paraId="7F2A7117">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 xml:space="preserve">1、产品所需包装由乙方合理包装并符合技术附件的要求（如有），适合水运和/或长途内陆运输，防潮，防湿，防震，防锈，符合甲方使用要求。  </w:t>
      </w:r>
    </w:p>
    <w:p w14:paraId="5A9FE95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2、包装物由乙方提供，不计费、</w:t>
      </w:r>
      <w:r>
        <w:rPr>
          <w:rFonts w:hint="eastAsia" w:ascii="宋体" w:hAnsi="宋体" w:eastAsia="宋体" w:cs="宋体"/>
          <w:color w:val="auto"/>
          <w:kern w:val="2"/>
          <w:sz w:val="22"/>
          <w:szCs w:val="22"/>
          <w:highlight w:val="none"/>
          <w:u w:val="single"/>
        </w:rPr>
        <w:t>乙方</w:t>
      </w:r>
      <w:r>
        <w:rPr>
          <w:rFonts w:hint="eastAsia" w:ascii="宋体" w:hAnsi="宋体" w:eastAsia="宋体" w:cs="宋体"/>
          <w:color w:val="auto"/>
          <w:kern w:val="2"/>
          <w:sz w:val="22"/>
          <w:szCs w:val="22"/>
          <w:highlight w:val="none"/>
        </w:rPr>
        <w:t>回收。</w:t>
      </w:r>
    </w:p>
    <w:p w14:paraId="0A5E121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3、化学品的包装必须满足</w:t>
      </w:r>
      <w:r>
        <w:rPr>
          <w:rFonts w:hint="eastAsia" w:ascii="宋体" w:hAnsi="宋体" w:eastAsia="宋体" w:cs="宋体"/>
          <w:bCs/>
          <w:color w:val="auto"/>
          <w:kern w:val="2"/>
          <w:sz w:val="22"/>
          <w:szCs w:val="22"/>
          <w:highlight w:val="none"/>
        </w:rPr>
        <w:t>《化学试剂 包装及标志》GB 15346-2012</w:t>
      </w:r>
      <w:r>
        <w:rPr>
          <w:rFonts w:hint="eastAsia" w:ascii="宋体" w:hAnsi="宋体" w:eastAsia="宋体" w:cs="宋体"/>
          <w:color w:val="auto"/>
          <w:kern w:val="2"/>
          <w:sz w:val="22"/>
          <w:szCs w:val="22"/>
          <w:highlight w:val="none"/>
        </w:rPr>
        <w:t>和《危险货物包装标志》GB 190-2009。对于瓶装或桶装的化学品，其标识必须包含化学品的名称、分子式、有效成分含量及等级、净重、危险标识、供货厂家、批号，生产日期、有效期、产品质量符合标准的证明和标准编号等信息。对于运送散装化学品的储槽上必须有标识，必须包含化学品的名称和危险标识等信息，运送人员同时提供产品质量检验报告。</w:t>
      </w:r>
    </w:p>
    <w:p w14:paraId="1686CA3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4.所采购品含腐蚀性、有毒成分，产品进厂后，将严格执行厂区的安全规定和政府部门的《危险化学品的安全管理》。</w:t>
      </w:r>
    </w:p>
    <w:p w14:paraId="7229FA18">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3953DF9A">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59" w:name="_Toc3302"/>
      <w:r>
        <w:rPr>
          <w:rFonts w:hint="eastAsia" w:ascii="宋体" w:hAnsi="宋体" w:eastAsia="宋体" w:cs="宋体"/>
          <w:b/>
          <w:color w:val="auto"/>
          <w:kern w:val="2"/>
          <w:sz w:val="22"/>
          <w:szCs w:val="22"/>
          <w:highlight w:val="none"/>
        </w:rPr>
        <w:t>第五条  交货时间、地点及供货期限</w:t>
      </w:r>
      <w:bookmarkEnd w:id="59"/>
    </w:p>
    <w:p w14:paraId="50A0890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1、交货地点：东莞市海心沙资源综合利用中心环保热电厂项目指定地点。</w:t>
      </w:r>
    </w:p>
    <w:p w14:paraId="0AAF633A">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snapToGrid w:val="0"/>
          <w:color w:val="auto"/>
          <w:kern w:val="2"/>
          <w:sz w:val="22"/>
          <w:szCs w:val="22"/>
          <w:highlight w:val="none"/>
        </w:rPr>
      </w:pPr>
      <w:r>
        <w:rPr>
          <w:rFonts w:hint="eastAsia" w:ascii="宋体" w:hAnsi="宋体" w:eastAsia="宋体" w:cs="宋体"/>
          <w:color w:val="auto"/>
          <w:kern w:val="2"/>
          <w:sz w:val="22"/>
          <w:szCs w:val="22"/>
          <w:highlight w:val="none"/>
        </w:rPr>
        <w:t>2、交货时间及顺序：经甲方提前2日以书面、微信、电子邮件或短信通知后，乙方需确保在规定期限内交货到厂。乙方在收到甲方书面、微信、电子邮件或短信等通知后应立即供货，如不能在约定时间内及时供货时，则承担逾期供货相关责任。</w:t>
      </w:r>
      <w:r>
        <w:rPr>
          <w:rFonts w:hint="eastAsia" w:ascii="宋体" w:hAnsi="宋体" w:eastAsia="宋体" w:cs="宋体"/>
          <w:bCs/>
          <w:snapToGrid w:val="0"/>
          <w:color w:val="auto"/>
          <w:kern w:val="2"/>
          <w:sz w:val="22"/>
          <w:szCs w:val="22"/>
          <w:highlight w:val="none"/>
        </w:rPr>
        <w:t>本次采购不限定每次采购的时间、数量。乙方应当根据甲方的随时通知在上述期限内及时供货。乙方应当自行预估并且承担由此可能带来的风险。</w:t>
      </w:r>
    </w:p>
    <w:p w14:paraId="4F58E77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3、紧急供货：如甲方的任一项目因突发状况要求紧急供货，乙方应在收到甲方通知后根据甲方订单或电子邮件、短信等要求在10个小时内交货到厂。如不能在约定时间交货到厂，则承担逾期交货相关责任。</w:t>
      </w:r>
    </w:p>
    <w:p w14:paraId="764AA177">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4、</w:t>
      </w:r>
      <w:r>
        <w:rPr>
          <w:rFonts w:hint="eastAsia" w:ascii="宋体" w:hAnsi="宋体" w:eastAsia="宋体" w:cs="宋体"/>
          <w:b/>
          <w:color w:val="auto"/>
          <w:kern w:val="2"/>
          <w:sz w:val="22"/>
          <w:szCs w:val="22"/>
          <w:highlight w:val="none"/>
        </w:rPr>
        <w:t>供货期限：</w:t>
      </w:r>
    </w:p>
    <w:p w14:paraId="7DC7925A">
      <w:pPr>
        <w:widowControl w:val="0"/>
        <w:tabs>
          <w:tab w:val="left" w:pos="0"/>
          <w:tab w:val="left" w:pos="709"/>
        </w:tabs>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bCs/>
          <w:color w:val="auto"/>
          <w:kern w:val="2"/>
          <w:sz w:val="22"/>
          <w:szCs w:val="22"/>
          <w:highlight w:val="none"/>
        </w:rPr>
        <w:t>供货期限为：</w:t>
      </w:r>
      <w:r>
        <w:rPr>
          <w:rFonts w:hint="eastAsia" w:ascii="宋体" w:hAnsi="宋体" w:cs="宋体"/>
          <w:sz w:val="22"/>
        </w:rPr>
        <w:t>2026年02月01日至2027年01月31日</w:t>
      </w:r>
      <w:r>
        <w:rPr>
          <w:rFonts w:hint="eastAsia" w:ascii="宋体" w:hAnsi="宋体" w:eastAsia="宋体" w:cs="宋体"/>
          <w:color w:val="auto"/>
          <w:kern w:val="2"/>
          <w:sz w:val="22"/>
          <w:szCs w:val="22"/>
          <w:highlight w:val="none"/>
        </w:rPr>
        <w:t>止。</w:t>
      </w:r>
    </w:p>
    <w:p w14:paraId="127C8738">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3C31281E">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0" w:name="_Toc4223"/>
      <w:r>
        <w:rPr>
          <w:rFonts w:hint="eastAsia" w:ascii="宋体" w:hAnsi="宋体" w:eastAsia="宋体" w:cs="宋体"/>
          <w:b/>
          <w:color w:val="auto"/>
          <w:kern w:val="2"/>
          <w:sz w:val="22"/>
          <w:szCs w:val="22"/>
          <w:highlight w:val="none"/>
        </w:rPr>
        <w:t>第六条  合理损耗标准及计算方法</w:t>
      </w:r>
      <w:bookmarkEnd w:id="60"/>
    </w:p>
    <w:p w14:paraId="2D6C4E9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1、双方共同确定的计量方法，即</w:t>
      </w:r>
      <w:r>
        <w:rPr>
          <w:rFonts w:hint="eastAsia" w:ascii="宋体" w:hAnsi="宋体" w:eastAsia="宋体" w:cs="宋体"/>
          <w:color w:val="auto"/>
          <w:kern w:val="2"/>
          <w:sz w:val="22"/>
          <w:szCs w:val="22"/>
          <w:highlight w:val="none"/>
          <w:u w:val="single"/>
        </w:rPr>
        <w:t>甲方指定送货电厂地磅计量法，无出厂化验合格报告，禁止入厂。</w:t>
      </w:r>
    </w:p>
    <w:p w14:paraId="32F8394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2、根据上述方法乙方向甲方实际交付的产品数量在本合同约定的合理损耗（</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%）的范围内，乙方不承担责任。</w:t>
      </w:r>
    </w:p>
    <w:p w14:paraId="3BD7879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765A947B">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1" w:name="_Toc23352"/>
      <w:r>
        <w:rPr>
          <w:rFonts w:hint="eastAsia" w:ascii="宋体" w:hAnsi="宋体" w:eastAsia="宋体" w:cs="宋体"/>
          <w:b/>
          <w:color w:val="auto"/>
          <w:kern w:val="2"/>
          <w:sz w:val="22"/>
          <w:szCs w:val="22"/>
          <w:highlight w:val="none"/>
        </w:rPr>
        <w:t>第七条  货物的保管风险及所有权的转移</w:t>
      </w:r>
      <w:bookmarkEnd w:id="61"/>
    </w:p>
    <w:p w14:paraId="11F6050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1、货物的保管风险自交付至甲方指定的交货地点之时转移至甲方，即在约定时间、约定地点交付之前货物的保管风险由乙方承担，交付之后货物的保管风险由甲方承担。</w:t>
      </w:r>
    </w:p>
    <w:p w14:paraId="2B1F318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2、货物的所有权自</w:t>
      </w:r>
      <w:r>
        <w:rPr>
          <w:rFonts w:hint="eastAsia" w:ascii="宋体" w:hAnsi="宋体" w:eastAsia="宋体" w:cs="宋体"/>
          <w:color w:val="auto"/>
          <w:kern w:val="2"/>
          <w:sz w:val="22"/>
          <w:szCs w:val="22"/>
          <w:highlight w:val="none"/>
          <w:u w:val="single"/>
        </w:rPr>
        <w:t>交付</w:t>
      </w:r>
      <w:r>
        <w:rPr>
          <w:rFonts w:hint="eastAsia" w:ascii="宋体" w:hAnsi="宋体" w:eastAsia="宋体" w:cs="宋体"/>
          <w:color w:val="auto"/>
          <w:kern w:val="2"/>
          <w:sz w:val="22"/>
          <w:szCs w:val="22"/>
          <w:highlight w:val="none"/>
        </w:rPr>
        <w:t>起转移至甲方。</w:t>
      </w:r>
    </w:p>
    <w:p w14:paraId="604E115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3、乙方迟延交付的，承担迟延期间货物的风险责任。</w:t>
      </w:r>
    </w:p>
    <w:p w14:paraId="3FE0AD4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0A480317">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第八条  运输方法</w:t>
      </w:r>
      <w:r>
        <w:rPr>
          <w:rFonts w:hint="eastAsia" w:ascii="宋体" w:hAnsi="宋体" w:eastAsia="宋体" w:cs="宋体"/>
          <w:color w:val="auto"/>
          <w:kern w:val="2"/>
          <w:sz w:val="22"/>
          <w:szCs w:val="22"/>
          <w:highlight w:val="none"/>
        </w:rPr>
        <w:t>、</w:t>
      </w:r>
      <w:r>
        <w:rPr>
          <w:rFonts w:hint="eastAsia" w:ascii="宋体" w:hAnsi="宋体" w:eastAsia="宋体" w:cs="宋体"/>
          <w:b/>
          <w:color w:val="auto"/>
          <w:kern w:val="2"/>
          <w:sz w:val="22"/>
          <w:szCs w:val="22"/>
          <w:highlight w:val="none"/>
        </w:rPr>
        <w:t>运费及运输保险负担、到达站（港）</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b/>
          <w:color w:val="auto"/>
          <w:kern w:val="2"/>
          <w:sz w:val="22"/>
          <w:szCs w:val="22"/>
          <w:highlight w:val="none"/>
        </w:rPr>
        <w:t>。</w:t>
      </w:r>
    </w:p>
    <w:p w14:paraId="460E330A">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1、运输方法：乙方须用合规格密封良好的槽罐车运输合同货物。槽罐必须注意防泄漏，注意环境保护。槽罐车实际容量可根据甲方实际送货需求调整。按最新交通运输法，载货后整车总质量必须</w:t>
      </w:r>
      <w:r>
        <w:rPr>
          <w:rFonts w:hint="eastAsia" w:ascii="宋体" w:hAnsi="宋体" w:eastAsia="宋体" w:cs="宋体"/>
          <w:color w:val="auto"/>
          <w:kern w:val="2"/>
          <w:sz w:val="22"/>
          <w:szCs w:val="22"/>
          <w:highlight w:val="none"/>
          <w:shd w:val="clear" w:color="auto" w:fill="FFFFFF"/>
        </w:rPr>
        <w:t>＜</w:t>
      </w:r>
      <w:r>
        <w:rPr>
          <w:rFonts w:hint="eastAsia" w:ascii="宋体" w:hAnsi="宋体" w:eastAsia="宋体" w:cs="宋体"/>
          <w:color w:val="auto"/>
          <w:kern w:val="2"/>
          <w:sz w:val="22"/>
          <w:szCs w:val="22"/>
          <w:highlight w:val="none"/>
        </w:rPr>
        <w:t>49吨。以上由乙方承担运输及装卸等费用，自行卸货。</w:t>
      </w:r>
    </w:p>
    <w:p w14:paraId="2F5C0DA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2、费用负担：按</w:t>
      </w:r>
      <w:r>
        <w:rPr>
          <w:rFonts w:hint="eastAsia" w:ascii="宋体" w:hAnsi="宋体" w:eastAsia="宋体" w:cs="宋体"/>
          <w:color w:val="auto"/>
          <w:kern w:val="2"/>
          <w:sz w:val="22"/>
          <w:szCs w:val="22"/>
          <w:highlight w:val="none"/>
          <w:u w:val="single"/>
        </w:rPr>
        <w:t xml:space="preserve">   (1)  </w:t>
      </w:r>
      <w:r>
        <w:rPr>
          <w:rFonts w:hint="eastAsia" w:ascii="宋体" w:hAnsi="宋体" w:eastAsia="宋体" w:cs="宋体"/>
          <w:color w:val="auto"/>
          <w:kern w:val="2"/>
          <w:sz w:val="22"/>
          <w:szCs w:val="22"/>
          <w:highlight w:val="none"/>
        </w:rPr>
        <w:t>执行。</w:t>
      </w:r>
    </w:p>
    <w:p w14:paraId="562A85A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（1）运费已包含在本合同价款内；（2）运输费用</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元，由甲方另行支付。</w:t>
      </w:r>
    </w:p>
    <w:p w14:paraId="11203B9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3、运输保险费由</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方承担，共计：</w:t>
      </w:r>
      <w:r>
        <w:rPr>
          <w:rFonts w:hint="eastAsia" w:ascii="宋体" w:hAnsi="宋体" w:eastAsia="宋体" w:cs="宋体"/>
          <w:color w:val="auto"/>
          <w:kern w:val="2"/>
          <w:sz w:val="22"/>
          <w:szCs w:val="22"/>
          <w:highlight w:val="none"/>
          <w:u w:val="single"/>
        </w:rPr>
        <w:t xml:space="preserve">       ﹨     </w:t>
      </w:r>
      <w:r>
        <w:rPr>
          <w:rFonts w:hint="eastAsia" w:ascii="宋体" w:hAnsi="宋体" w:eastAsia="宋体" w:cs="宋体"/>
          <w:color w:val="auto"/>
          <w:kern w:val="2"/>
          <w:sz w:val="22"/>
          <w:szCs w:val="22"/>
          <w:highlight w:val="none"/>
        </w:rPr>
        <w:t>。由乙方代办托运的保险受益人为甲方。保险费已包含在本合同价款内。</w:t>
      </w:r>
    </w:p>
    <w:p w14:paraId="3DAC297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4C95CA33">
      <w:pPr>
        <w:widowControl w:val="0"/>
        <w:adjustRightInd w:val="0"/>
        <w:snapToGrid w:val="0"/>
        <w:spacing w:line="400" w:lineRule="exact"/>
        <w:ind w:firstLine="442" w:firstLineChars="200"/>
        <w:jc w:val="both"/>
        <w:outlineLvl w:val="1"/>
        <w:rPr>
          <w:rFonts w:hint="eastAsia" w:ascii="宋体" w:hAnsi="宋体" w:eastAsia="宋体" w:cs="宋体"/>
          <w:color w:val="auto"/>
          <w:kern w:val="2"/>
          <w:sz w:val="22"/>
          <w:szCs w:val="22"/>
          <w:highlight w:val="none"/>
        </w:rPr>
      </w:pPr>
      <w:bookmarkStart w:id="62" w:name="_Toc6062"/>
      <w:r>
        <w:rPr>
          <w:rFonts w:hint="eastAsia" w:ascii="宋体" w:hAnsi="宋体" w:eastAsia="宋体" w:cs="宋体"/>
          <w:b/>
          <w:color w:val="auto"/>
          <w:kern w:val="2"/>
          <w:sz w:val="22"/>
          <w:szCs w:val="22"/>
          <w:highlight w:val="none"/>
        </w:rPr>
        <w:t>第九条  检验标准、方法、地点及期限</w:t>
      </w:r>
      <w:bookmarkEnd w:id="62"/>
    </w:p>
    <w:p w14:paraId="60782FE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1、检验标准：按本合同第二条质量标准进行检验。</w:t>
      </w:r>
    </w:p>
    <w:p w14:paraId="0A1FD7F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2、验收方式：按</w:t>
      </w:r>
      <w:r>
        <w:rPr>
          <w:rFonts w:hint="eastAsia" w:ascii="宋体" w:hAnsi="宋体" w:eastAsia="宋体" w:cs="宋体"/>
          <w:color w:val="auto"/>
          <w:kern w:val="2"/>
          <w:sz w:val="22"/>
          <w:szCs w:val="22"/>
          <w:highlight w:val="none"/>
          <w:u w:val="single"/>
        </w:rPr>
        <w:t xml:space="preserve"> (1)、 (2) 、(3) 、(4) 、（5）、（6）、（7）</w:t>
      </w:r>
      <w:r>
        <w:rPr>
          <w:rFonts w:hint="eastAsia" w:ascii="宋体" w:hAnsi="宋体" w:eastAsia="宋体" w:cs="宋体"/>
          <w:color w:val="auto"/>
          <w:kern w:val="2"/>
          <w:sz w:val="22"/>
          <w:szCs w:val="22"/>
          <w:highlight w:val="none"/>
        </w:rPr>
        <w:t>执行。</w:t>
      </w:r>
    </w:p>
    <w:p w14:paraId="6BE34DF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2"/>
          <w:sz w:val="22"/>
          <w:szCs w:val="22"/>
          <w:highlight w:val="none"/>
          <w:u w:val="single"/>
        </w:rPr>
        <w:t>乙方在送货时，必须提供每一批货物的出厂化验报告，要求必须签字盖章。无出厂化验报告，禁止入厂。</w:t>
      </w:r>
    </w:p>
    <w:p w14:paraId="196A43C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过磅后乙方送达产品到甲方指定地点进行抽样取样，每次取样时，供需双方应当共同见证取样，且取样单须经供需双方共同签字签章确认（乙方拒绝派人参加取样或者拒绝签字盖章确认的，不影响甲方取样的效力）。每车次取4份样品（</w:t>
      </w:r>
      <w:r>
        <w:rPr>
          <w:rFonts w:hint="eastAsia" w:ascii="宋体" w:hAnsi="宋体" w:eastAsia="宋体" w:cs="宋体"/>
          <w:color w:val="auto"/>
          <w:kern w:val="2"/>
          <w:sz w:val="22"/>
          <w:szCs w:val="22"/>
          <w:highlight w:val="none"/>
          <w:u w:val="single"/>
        </w:rPr>
        <w:t>其中1份样品交由甲方实验室检测，1份预备送第三方检测机构进行检测，</w:t>
      </w:r>
      <w:r>
        <w:rPr>
          <w:rFonts w:hint="eastAsia" w:ascii="宋体" w:hAnsi="宋体" w:eastAsia="宋体" w:cs="宋体"/>
          <w:color w:val="auto"/>
          <w:kern w:val="2"/>
          <w:sz w:val="22"/>
          <w:szCs w:val="22"/>
          <w:highlight w:val="none"/>
        </w:rPr>
        <w:t>另外2份样品作为备样交由甲方备存），甲方完成取样并且实验室初步检验合格后，由乙方负责卸货至甲方指定地点，卸货费用已经包含在合同价款中。卸货后乙方必须再次到甲方地磅过空磅，签字确认并拿取过磅单后，方可离厂。如退货，乙方必须在10小时内第二车送货到厂。</w:t>
      </w:r>
    </w:p>
    <w:p w14:paraId="354F5D04">
      <w:pPr>
        <w:widowControl w:val="0"/>
        <w:adjustRightInd/>
        <w:snapToGrid/>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（3）不予收货：经甲方验收不合格的不予收货，</w:t>
      </w:r>
      <w:r>
        <w:rPr>
          <w:rFonts w:hint="eastAsia" w:ascii="宋体" w:hAnsi="宋体" w:cs="宋体"/>
          <w:color w:val="auto"/>
          <w:kern w:val="2"/>
          <w:sz w:val="22"/>
          <w:szCs w:val="22"/>
          <w:highlight w:val="none"/>
          <w:lang w:val="en-US" w:eastAsia="zh-CN"/>
        </w:rPr>
        <w:t>乙方</w:t>
      </w:r>
      <w:r>
        <w:rPr>
          <w:rFonts w:hint="eastAsia" w:ascii="宋体" w:hAnsi="宋体" w:eastAsia="宋体" w:cs="宋体"/>
          <w:color w:val="auto"/>
          <w:kern w:val="2"/>
          <w:sz w:val="22"/>
          <w:szCs w:val="22"/>
          <w:highlight w:val="none"/>
        </w:rPr>
        <w:t>有争议的可提请第三方检测。</w:t>
      </w:r>
    </w:p>
    <w:p w14:paraId="2AD4E9E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（4）第三方检测：</w:t>
      </w:r>
    </w:p>
    <w:p w14:paraId="52344146">
      <w:pPr>
        <w:widowControl w:val="0"/>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1）出现异议货物送第三方检测：如乙方对</w:t>
      </w:r>
      <w:r>
        <w:rPr>
          <w:rFonts w:hint="eastAsia" w:ascii="宋体" w:hAnsi="宋体" w:eastAsia="宋体" w:cs="宋体"/>
          <w:color w:val="auto"/>
          <w:kern w:val="2"/>
          <w:sz w:val="22"/>
          <w:szCs w:val="22"/>
          <w:highlight w:val="none"/>
        </w:rPr>
        <w:t>甲方实验室初步检验结果有异议，则甲方将共同封存的该车次样品由甲方在确定的三家检测单位中指定一家送检</w:t>
      </w:r>
      <w:r>
        <w:rPr>
          <w:rFonts w:hint="eastAsia" w:ascii="宋体" w:hAnsi="宋体" w:eastAsia="宋体" w:cs="宋体"/>
          <w:snapToGrid w:val="0"/>
          <w:color w:val="auto"/>
          <w:kern w:val="2"/>
          <w:sz w:val="22"/>
          <w:szCs w:val="22"/>
          <w:highlight w:val="none"/>
        </w:rPr>
        <w:t>。第三方检测结果合格的，检测费用由甲方承担；第三方检测结果不合格的，检测费用由乙方承担（如</w:t>
      </w:r>
      <w:r>
        <w:rPr>
          <w:rFonts w:hint="eastAsia" w:ascii="宋体" w:hAnsi="宋体" w:cs="宋体"/>
          <w:snapToGrid w:val="0"/>
          <w:color w:val="auto"/>
          <w:kern w:val="2"/>
          <w:sz w:val="22"/>
          <w:szCs w:val="22"/>
          <w:highlight w:val="none"/>
          <w:lang w:val="en-US" w:eastAsia="zh-CN"/>
        </w:rPr>
        <w:t>乙方</w:t>
      </w:r>
      <w:r>
        <w:rPr>
          <w:rFonts w:hint="eastAsia" w:ascii="宋体" w:hAnsi="宋体" w:eastAsia="宋体" w:cs="宋体"/>
          <w:snapToGrid w:val="0"/>
          <w:color w:val="auto"/>
          <w:kern w:val="2"/>
          <w:sz w:val="22"/>
          <w:szCs w:val="22"/>
          <w:highlight w:val="none"/>
        </w:rPr>
        <w:t>拒不付款时，甲方有权从应付乙方的货款中直接扣除）。</w:t>
      </w:r>
    </w:p>
    <w:p w14:paraId="0F108F7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2）甲方不定点不定期抽样送第三方检测：</w:t>
      </w:r>
    </w:p>
    <w:p w14:paraId="71AB7C0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甲方有权在合同履行期限内不定期随机抽检，双方见证取样，每车次取4份样品（1份样品送第三方检测机构进行检测，2份样品作为备样交由甲方备存，1份给乙方），由甲方指定检测单位及送检，检测费用由甲方承担。</w:t>
      </w:r>
      <w:r>
        <w:rPr>
          <w:rFonts w:hint="eastAsia" w:ascii="宋体" w:hAnsi="宋体" w:eastAsia="宋体" w:cs="宋体"/>
          <w:snapToGrid w:val="0"/>
          <w:color w:val="auto"/>
          <w:kern w:val="2"/>
          <w:sz w:val="22"/>
          <w:szCs w:val="22"/>
          <w:highlight w:val="none"/>
        </w:rPr>
        <w:t>甲方有权从履约担保中扣除违约金，履约担保不足支付部分，甲方有权另行向乙方索赔。</w:t>
      </w:r>
    </w:p>
    <w:p w14:paraId="59D9DCE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（5）如甲方验收不合格，乙方提出异议，经乙方要求并同意甲方收货时，第三方检测后产品不合格，该批次货物不予结算，且乙方须向甲方支付当月货款的2%作为违约金。</w:t>
      </w:r>
    </w:p>
    <w:p w14:paraId="57E4C52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7A424343">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3" w:name="_Toc29918"/>
      <w:r>
        <w:rPr>
          <w:rFonts w:hint="eastAsia" w:ascii="宋体" w:hAnsi="宋体" w:eastAsia="宋体" w:cs="宋体"/>
          <w:b/>
          <w:color w:val="auto"/>
          <w:kern w:val="2"/>
          <w:sz w:val="22"/>
          <w:szCs w:val="22"/>
          <w:highlight w:val="none"/>
        </w:rPr>
        <w:t>第十条  履约担保及退回</w:t>
      </w:r>
      <w:bookmarkEnd w:id="63"/>
    </w:p>
    <w:p w14:paraId="3D310141">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w:t>
      </w:r>
      <w:r>
        <w:rPr>
          <w:rFonts w:hint="eastAsia" w:ascii="宋体" w:hAnsi="宋体" w:eastAsia="宋体" w:cs="宋体"/>
          <w:color w:val="auto"/>
          <w:kern w:val="44"/>
          <w:sz w:val="22"/>
          <w:szCs w:val="22"/>
          <w:highlight w:val="none"/>
        </w:rPr>
        <w:t>乙方在签订合同后</w:t>
      </w:r>
      <w:r>
        <w:rPr>
          <w:rFonts w:hint="eastAsia" w:ascii="宋体" w:hAnsi="宋体" w:eastAsia="宋体" w:cs="宋体"/>
          <w:color w:val="auto"/>
          <w:kern w:val="2"/>
          <w:sz w:val="22"/>
          <w:szCs w:val="22"/>
          <w:highlight w:val="none"/>
        </w:rPr>
        <w:t>15个日历天内向甲方提供</w:t>
      </w:r>
      <w:r>
        <w:rPr>
          <w:rFonts w:hint="eastAsia" w:ascii="宋体" w:hAnsi="宋体" w:eastAsia="宋体" w:cs="宋体"/>
          <w:b/>
          <w:bCs/>
          <w:color w:val="auto"/>
          <w:sz w:val="22"/>
          <w:szCs w:val="22"/>
          <w:highlight w:val="none"/>
          <w:u w:val="double"/>
        </w:rPr>
        <w:t>人民币     （¥</w:t>
      </w:r>
      <w:r>
        <w:rPr>
          <w:rFonts w:hint="eastAsia" w:ascii="宋体" w:hAnsi="宋体" w:eastAsia="宋体" w:cs="宋体"/>
          <w:b/>
          <w:bCs/>
          <w:color w:val="auto"/>
          <w:kern w:val="2"/>
          <w:sz w:val="22"/>
          <w:szCs w:val="22"/>
          <w:highlight w:val="none"/>
          <w:u w:val="double"/>
        </w:rPr>
        <w:t xml:space="preserve">      </w:t>
      </w:r>
      <w:r>
        <w:rPr>
          <w:rFonts w:hint="eastAsia" w:ascii="宋体" w:hAnsi="宋体" w:eastAsia="宋体" w:cs="宋体"/>
          <w:b/>
          <w:bCs/>
          <w:color w:val="auto"/>
          <w:sz w:val="22"/>
          <w:szCs w:val="22"/>
          <w:highlight w:val="none"/>
          <w:u w:val="double"/>
        </w:rPr>
        <w:t>）</w:t>
      </w:r>
      <w:r>
        <w:rPr>
          <w:rFonts w:hint="eastAsia" w:ascii="宋体" w:hAnsi="宋体" w:eastAsia="宋体" w:cs="宋体"/>
          <w:color w:val="auto"/>
          <w:kern w:val="2"/>
          <w:sz w:val="22"/>
          <w:szCs w:val="22"/>
          <w:highlight w:val="none"/>
        </w:rPr>
        <w:t>履约保证金(以现金支票或见索即付银行履约保函)。</w:t>
      </w:r>
      <w:r>
        <w:rPr>
          <w:rFonts w:hint="eastAsia" w:ascii="宋体" w:hAnsi="宋体" w:eastAsia="宋体" w:cs="宋体"/>
          <w:color w:val="auto"/>
          <w:kern w:val="44"/>
          <w:sz w:val="22"/>
          <w:szCs w:val="22"/>
          <w:highlight w:val="none"/>
        </w:rPr>
        <w:t>乙方以银行保函方式提交履约担保并且保函规定了有效期的，乙方应当在保函有效期届满前一个月向甲方提交续期保函。</w:t>
      </w:r>
      <w:r>
        <w:rPr>
          <w:rFonts w:hint="eastAsia" w:ascii="宋体" w:hAnsi="宋体" w:eastAsia="宋体" w:cs="宋体"/>
          <w:color w:val="auto"/>
          <w:kern w:val="2"/>
          <w:sz w:val="22"/>
          <w:szCs w:val="22"/>
          <w:highlight w:val="none"/>
        </w:rPr>
        <w:t>作为甲方对乙方合约履行的保证，如乙方违约（具体参考本合同第十四条及其他条款的约定），甲方则有权从该履约保证金中扣除。</w:t>
      </w:r>
    </w:p>
    <w:p w14:paraId="73FFE97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如乙方未依照本合同项下约定全面履行义务，甲方有权在书面通知乙方后，从履约保证金中支付因乙方违约行为所导致的一切损失（包括但不限于违约金，损害赔偿金及甲方因此而发生的全部费用，包括诉讼费、仲裁费、评估费、律师费等）。</w:t>
      </w:r>
    </w:p>
    <w:p w14:paraId="32207D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3、履约保证金不足支付部分，甲方有权另行向乙方索赔。</w:t>
      </w:r>
    </w:p>
    <w:p w14:paraId="4470272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4、乙方依照本合同约定全面履行义务，并经甲方书面同意后，</w:t>
      </w:r>
      <w:r>
        <w:rPr>
          <w:rFonts w:hint="eastAsia" w:ascii="宋体" w:hAnsi="宋体" w:eastAsia="宋体" w:cs="宋体"/>
          <w:color w:val="auto"/>
          <w:kern w:val="44"/>
          <w:sz w:val="22"/>
          <w:szCs w:val="22"/>
          <w:highlight w:val="none"/>
        </w:rPr>
        <w:t>履约担保在完成本合同全部义务且质保期（如有）满后二十八天内无息退还</w:t>
      </w:r>
      <w:r>
        <w:rPr>
          <w:rFonts w:hint="eastAsia" w:ascii="宋体" w:hAnsi="宋体" w:eastAsia="宋体" w:cs="宋体"/>
          <w:color w:val="auto"/>
          <w:kern w:val="2"/>
          <w:sz w:val="22"/>
          <w:szCs w:val="22"/>
          <w:highlight w:val="none"/>
        </w:rPr>
        <w:t>，履约保函过期失效。乙方在履约保证期满后须提交退款申请，否则甲方有权延期退款。</w:t>
      </w:r>
    </w:p>
    <w:p w14:paraId="1A0E074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5、如履约担保到期不续期，则甲方有权先不支付费用，并要求乙方承担违约责任且继续履行义务。</w:t>
      </w:r>
    </w:p>
    <w:p w14:paraId="0B28640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6、甲方收款银行账户如下：</w:t>
      </w:r>
    </w:p>
    <w:p w14:paraId="5018B31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户名： </w:t>
      </w:r>
    </w:p>
    <w:p w14:paraId="6E8986C0">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w:t>
      </w:r>
    </w:p>
    <w:p w14:paraId="4F89B38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账号：</w:t>
      </w:r>
    </w:p>
    <w:p w14:paraId="750057A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6086F2AE">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4" w:name="_Toc11335"/>
      <w:r>
        <w:rPr>
          <w:rFonts w:hint="eastAsia" w:ascii="宋体" w:hAnsi="宋体" w:eastAsia="宋体" w:cs="宋体"/>
          <w:b/>
          <w:color w:val="auto"/>
          <w:kern w:val="2"/>
          <w:sz w:val="22"/>
          <w:szCs w:val="22"/>
          <w:highlight w:val="none"/>
        </w:rPr>
        <w:t>第十一条 付款方式及付款条件</w:t>
      </w:r>
      <w:bookmarkEnd w:id="64"/>
    </w:p>
    <w:p w14:paraId="294523B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1、本合同项下确定的合同总价由甲方向乙方按</w:t>
      </w:r>
      <w:r>
        <w:rPr>
          <w:rFonts w:hint="eastAsia" w:ascii="宋体" w:hAnsi="宋体" w:eastAsia="宋体" w:cs="宋体"/>
          <w:color w:val="auto"/>
          <w:kern w:val="2"/>
          <w:sz w:val="22"/>
          <w:szCs w:val="22"/>
          <w:highlight w:val="none"/>
          <w:u w:val="single"/>
        </w:rPr>
        <w:t>月结</w:t>
      </w:r>
      <w:r>
        <w:rPr>
          <w:rFonts w:hint="eastAsia" w:ascii="宋体" w:hAnsi="宋体" w:eastAsia="宋体" w:cs="宋体"/>
          <w:color w:val="auto"/>
          <w:kern w:val="2"/>
          <w:sz w:val="22"/>
          <w:szCs w:val="22"/>
          <w:highlight w:val="none"/>
        </w:rPr>
        <w:t>方式支付：</w:t>
      </w:r>
    </w:p>
    <w:p w14:paraId="4DEE81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月结：每自然月结束后，甲方向乙方申请结算上月货物货款。结算数量按上月乙方货物经甲方验收合格的数量（对质量有争议的部分暂时不予结算支付），并且在甲方收到乙方交付的以下资料后三十个工作日内以电汇/转账/银行承兑汇票等方式向乙方支付：</w:t>
      </w:r>
    </w:p>
    <w:p w14:paraId="7E0AE9C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A．（货物的过磅计量清单）标的货物经甲方地磅计量的实际重量；</w:t>
      </w:r>
    </w:p>
    <w:p w14:paraId="0337ED6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B．开具金额为该月验收合格货物总价100％的增值税专用发票（在合同履行期间，如遇国家的税率调整，则货款（价税合计）应根据原不含税价和调整后的税率重新计算，相应发票按调整后价格开具）；</w:t>
      </w:r>
    </w:p>
    <w:p w14:paraId="1E6630C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C．乙方向甲方缴纳的履约担保证明资料（首次支付时需要）；</w:t>
      </w:r>
    </w:p>
    <w:p w14:paraId="76CE328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D．每车次货物甲方实验室初步检验报告及甲方对异议货物要求乙方委托第三方出具的合格检测报告（如有）</w:t>
      </w:r>
      <w:r>
        <w:rPr>
          <w:rFonts w:hint="eastAsia" w:ascii="宋体" w:hAnsi="宋体" w:eastAsia="宋体" w:cs="宋体"/>
          <w:snapToGrid w:val="0"/>
          <w:color w:val="auto"/>
          <w:kern w:val="2"/>
          <w:sz w:val="22"/>
          <w:szCs w:val="22"/>
          <w:highlight w:val="none"/>
        </w:rPr>
        <w:t>；</w:t>
      </w:r>
    </w:p>
    <w:p w14:paraId="0D77D8E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E．送货清单（甲方指定收货人签字确认）；</w:t>
      </w:r>
    </w:p>
    <w:p w14:paraId="7424C01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F. 每车次货物出厂化验报告；</w:t>
      </w:r>
    </w:p>
    <w:p w14:paraId="363C514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G. 双方盖章确认的月度对账单。</w:t>
      </w:r>
    </w:p>
    <w:p w14:paraId="5F98B55C">
      <w:pPr>
        <w:widowControl w:val="0"/>
        <w:tabs>
          <w:tab w:val="left" w:pos="6597"/>
        </w:tabs>
        <w:autoSpaceDE w:val="0"/>
        <w:autoSpaceDN w:val="0"/>
        <w:adjustRightInd w:val="0"/>
        <w:snapToGrid w:val="0"/>
        <w:spacing w:line="400" w:lineRule="exact"/>
        <w:ind w:firstLine="440" w:firstLineChars="200"/>
        <w:jc w:val="both"/>
        <w:textAlignment w:val="bottom"/>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2、乙方确认其收款银行账户如下：</w:t>
      </w:r>
    </w:p>
    <w:p w14:paraId="59CC1E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账户名称：</w:t>
      </w:r>
    </w:p>
    <w:p w14:paraId="1C52C7D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开户银行：</w:t>
      </w:r>
    </w:p>
    <w:p w14:paraId="00DBCAF9">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银行账号：</w:t>
      </w:r>
    </w:p>
    <w:p w14:paraId="518AEAD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3、甲乙双方各自承担因执行合同所发生的银行费用及各项税费。</w:t>
      </w:r>
    </w:p>
    <w:p w14:paraId="49EA05C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在甲方支付合同款项时，应按各期付款数额向甲方开具按付款方式和付款条件要求的票据格式。不开具或开具不合格的，甲方有权迟延支付应付款项且不承担任何违约责任，且乙方的各项合同义务仍应按合同约定履行。</w:t>
      </w:r>
    </w:p>
    <w:p w14:paraId="7B1EBA3E">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5、如果乙方有赔偿和/或支付违约金的责任，则甲方有权从最近一笔付款或是履约保证金中扣除相应金额。如果最近一笔付款或履约保证金不足以抵扣违约金的，则可从下一笔付款中继续扣除。</w:t>
      </w:r>
    </w:p>
    <w:p w14:paraId="69BD5A8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6、由于乙方未足额缴纳应缴税款和开具发票不真实、不合格而引起的一切责任（包括商业责任和法律责任）和损失，由乙方承担。</w:t>
      </w:r>
    </w:p>
    <w:p w14:paraId="1AFECA0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2108FC9D">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5" w:name="_Toc17679"/>
      <w:r>
        <w:rPr>
          <w:rFonts w:hint="eastAsia" w:ascii="宋体" w:hAnsi="宋体" w:eastAsia="宋体" w:cs="宋体"/>
          <w:b/>
          <w:color w:val="auto"/>
          <w:kern w:val="2"/>
          <w:sz w:val="22"/>
          <w:szCs w:val="22"/>
          <w:highlight w:val="none"/>
        </w:rPr>
        <w:t>第十二条  不可抗力</w:t>
      </w:r>
      <w:bookmarkEnd w:id="65"/>
    </w:p>
    <w:p w14:paraId="587C1AAA">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不可抗力”是指不能预见、不能避免并不能克服的客观情况，包括但不限于：天灾、水灾、地震或其他灾难，战争或暴乱，以及其他在受影响的一方合理控制范围以外且经该方合理努力后也不能防止或避免的类似事件。</w:t>
      </w:r>
    </w:p>
    <w:p w14:paraId="37B7631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2、由于不可抗力的原因，而不能履行合同或延迟履行合同的一方可视不可抗力的实际影响免除部分或全部违约责任。但受不可抗力影响的一方应在通知可能的情况下立即通知对方,并在不可抗力发生后</w:t>
      </w:r>
      <w:r>
        <w:rPr>
          <w:rFonts w:hint="eastAsia" w:ascii="宋体" w:hAnsi="宋体" w:eastAsia="宋体" w:cs="宋体"/>
          <w:color w:val="auto"/>
          <w:kern w:val="2"/>
          <w:sz w:val="22"/>
          <w:szCs w:val="22"/>
          <w:highlight w:val="none"/>
          <w:u w:val="single"/>
        </w:rPr>
        <w:t>7</w:t>
      </w:r>
      <w:r>
        <w:rPr>
          <w:rFonts w:hint="eastAsia" w:ascii="宋体" w:hAnsi="宋体" w:eastAsia="宋体" w:cs="宋体"/>
          <w:color w:val="auto"/>
          <w:kern w:val="2"/>
          <w:sz w:val="22"/>
          <w:szCs w:val="22"/>
          <w:highlight w:val="none"/>
        </w:rPr>
        <w:t>日内特快专递邮寄相关的主管部门签发的证明文件,以便其他各方审查、确认。</w:t>
      </w:r>
    </w:p>
    <w:p w14:paraId="2C9A7C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3、发生不可抗力事件终止或消除后，受不可抗力影响的一方，应立即通知对方, 发生不可抗力事件终止或消除后</w:t>
      </w:r>
      <w:r>
        <w:rPr>
          <w:rFonts w:hint="eastAsia" w:ascii="宋体" w:hAnsi="宋体" w:eastAsia="宋体" w:cs="宋体"/>
          <w:color w:val="auto"/>
          <w:kern w:val="2"/>
          <w:sz w:val="22"/>
          <w:szCs w:val="22"/>
          <w:highlight w:val="none"/>
          <w:u w:val="single"/>
        </w:rPr>
        <w:t>7</w:t>
      </w:r>
      <w:r>
        <w:rPr>
          <w:rFonts w:hint="eastAsia" w:ascii="宋体" w:hAnsi="宋体" w:eastAsia="宋体" w:cs="宋体"/>
          <w:color w:val="auto"/>
          <w:kern w:val="2"/>
          <w:sz w:val="22"/>
          <w:szCs w:val="22"/>
          <w:highlight w:val="none"/>
        </w:rPr>
        <w:t>日内特快专递邮寄相关的主管部门签发的证明文件确认不可抗力事件的终止或消除。</w:t>
      </w:r>
    </w:p>
    <w:p w14:paraId="00BBB7C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4、如果不可抗力的影响持续超过</w:t>
      </w:r>
      <w:r>
        <w:rPr>
          <w:rFonts w:hint="eastAsia" w:ascii="宋体" w:hAnsi="宋体" w:eastAsia="宋体" w:cs="宋体"/>
          <w:color w:val="auto"/>
          <w:kern w:val="2"/>
          <w:sz w:val="22"/>
          <w:szCs w:val="22"/>
          <w:highlight w:val="none"/>
          <w:u w:val="single"/>
        </w:rPr>
        <w:t>3个</w:t>
      </w:r>
      <w:r>
        <w:rPr>
          <w:rFonts w:hint="eastAsia" w:ascii="宋体" w:hAnsi="宋体" w:eastAsia="宋体" w:cs="宋体"/>
          <w:color w:val="auto"/>
          <w:kern w:val="2"/>
          <w:sz w:val="22"/>
          <w:szCs w:val="22"/>
          <w:highlight w:val="none"/>
        </w:rPr>
        <w:t>月，受不可抗力影响的一方应与对方取得联系，以便解决进一步履行合同的问题。</w:t>
      </w:r>
    </w:p>
    <w:p w14:paraId="35BEAD95">
      <w:pPr>
        <w:widowControl w:val="0"/>
        <w:adjustRightInd w:val="0"/>
        <w:snapToGrid w:val="0"/>
        <w:spacing w:line="400" w:lineRule="exact"/>
        <w:ind w:firstLine="440" w:firstLineChars="200"/>
        <w:jc w:val="both"/>
        <w:rPr>
          <w:rFonts w:hint="eastAsia" w:ascii="宋体" w:hAnsi="宋体" w:eastAsia="宋体" w:cs="宋体"/>
          <w:bCs/>
          <w:color w:val="auto"/>
          <w:kern w:val="2"/>
          <w:sz w:val="22"/>
          <w:szCs w:val="22"/>
          <w:highlight w:val="none"/>
        </w:rPr>
      </w:pPr>
      <w:r>
        <w:rPr>
          <w:rFonts w:hint="eastAsia" w:ascii="宋体" w:hAnsi="宋体" w:eastAsia="宋体" w:cs="宋体"/>
          <w:color w:val="auto"/>
          <w:kern w:val="2"/>
          <w:sz w:val="22"/>
          <w:szCs w:val="22"/>
          <w:highlight w:val="none"/>
        </w:rPr>
        <w:t>5、</w:t>
      </w:r>
      <w:r>
        <w:rPr>
          <w:rFonts w:hint="eastAsia" w:ascii="宋体" w:hAnsi="宋体" w:eastAsia="宋体" w:cs="宋体"/>
          <w:bCs/>
          <w:color w:val="auto"/>
          <w:kern w:val="2"/>
          <w:sz w:val="22"/>
          <w:szCs w:val="22"/>
          <w:highlight w:val="none"/>
        </w:rPr>
        <w:t>乙方应考虑因不可抗力或安全事故等突发因素导致甲方项目延期或停产而不能完成年度采购计划总量的情况，并自行承担风险。</w:t>
      </w:r>
    </w:p>
    <w:p w14:paraId="564F4E53">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4E223C03">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6" w:name="_Toc31202"/>
      <w:r>
        <w:rPr>
          <w:rFonts w:hint="eastAsia" w:ascii="宋体" w:hAnsi="宋体" w:eastAsia="宋体" w:cs="宋体"/>
          <w:b/>
          <w:color w:val="auto"/>
          <w:kern w:val="2"/>
          <w:sz w:val="22"/>
          <w:szCs w:val="22"/>
          <w:highlight w:val="none"/>
        </w:rPr>
        <w:t>第十三条  合同的变更和解除</w:t>
      </w:r>
      <w:bookmarkEnd w:id="66"/>
    </w:p>
    <w:p w14:paraId="65BAB13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1、双方协商一致可变更或解除本合同。合同变更或解除应采取书面形式。</w:t>
      </w:r>
    </w:p>
    <w:p w14:paraId="06611CA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有下列情形之一者，守约方可单方解除合同：（1）因不可抗力持续时间超过【3】个月，不能实现合同目的；（2）未经对方书面同意，将合同部分或全部权利义务转让给第三方；（3）在履行期限届满之前，一方明确表示或者以自己的行为表明不履行主要债务；（4）一方迟延履行主要债务，经催告后在合理期限内仍未履行，包括乙方任何一批货物逾期交货超过三天，甲方有权单方解除本合同；（5）一方迟延履行债务或者有其他违约行为致使不能实现合同目的；（6）货物质量指标不符合甲方所需技术要求者，包括乙方累计不合格货物车次达三次或以上的，甲方有权单方解除本合同；（7）法律规定的其他情形。</w:t>
      </w:r>
    </w:p>
    <w:p w14:paraId="7799B49C">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3、解除合同方在解除合同时，应履行通知对方义务。</w:t>
      </w:r>
    </w:p>
    <w:p w14:paraId="42BF2C97">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p>
    <w:p w14:paraId="1803C4AE">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7" w:name="_Toc26964"/>
      <w:r>
        <w:rPr>
          <w:rFonts w:hint="eastAsia" w:ascii="宋体" w:hAnsi="宋体" w:eastAsia="宋体" w:cs="宋体"/>
          <w:b/>
          <w:color w:val="auto"/>
          <w:kern w:val="2"/>
          <w:sz w:val="22"/>
          <w:szCs w:val="22"/>
          <w:highlight w:val="none"/>
        </w:rPr>
        <w:t>第十四条  违约责任</w:t>
      </w:r>
      <w:bookmarkEnd w:id="67"/>
    </w:p>
    <w:p w14:paraId="5596E075">
      <w:pPr>
        <w:widowControl w:val="0"/>
        <w:adjustRightInd w:val="0"/>
        <w:snapToGrid w:val="0"/>
        <w:spacing w:line="400" w:lineRule="exact"/>
        <w:ind w:firstLine="440"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color w:val="auto"/>
          <w:kern w:val="2"/>
          <w:sz w:val="22"/>
          <w:szCs w:val="22"/>
          <w:highlight w:val="none"/>
        </w:rPr>
        <w:t>1、乙方必须严格按照合同及采购订单约定的品名、数量、价格、规格、型号、质量以及交货期限等向甲方提供货物。因乙方原因逾期交货或者货物质量不符合约定的，乙方应以如下方式向甲方承担违约责任：</w:t>
      </w:r>
    </w:p>
    <w:p w14:paraId="649E76F8">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每逾期交货一天，支付逾期交货部分价款0.5%的违约金；不满一天按一天计算；逾期违约金的支付不影响乙方交货义务的履行；任何一批货物逾期交货超过三天，甲方有权单方面取消对应订单或者终止本合同，并追究乙方的违约责任。甲方有权从履约担保中扣除违约金，履约担保不足支付部分，甲方有权另行向乙方索赔。</w:t>
      </w:r>
    </w:p>
    <w:p w14:paraId="55B90976">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乙方违约或者乙方交付的货物不符合本合同约定要求，甲方要求退货或者解除合同的，乙方应当退还甲方支付的全部货款（如有）及按中国人民银行同期同类贷款利率计算的利息、向甲方支付合同总价款2%的违约金并且赔偿甲方的全部损失。甲方有权从履约担保中扣除违约金，履约担保不足支付部分，甲方有权另行向乙方索赔。若乙方已经交付货物的，乙方应当自甲方通知解除合同之日起5个工作日内自行将所退货物运离，否则视为乙方放弃对货物的一切权利，甲方有权自行处置。由此产生的保管费、运费、处置费等一切费用及货物的损毁、灭失风险均由乙方承担。</w:t>
      </w:r>
    </w:p>
    <w:p w14:paraId="2C47205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w:t>
      </w:r>
      <w:r>
        <w:rPr>
          <w:rFonts w:hint="eastAsia" w:ascii="宋体" w:hAnsi="宋体" w:eastAsia="宋体" w:cs="宋体"/>
          <w:snapToGrid w:val="0"/>
          <w:color w:val="auto"/>
          <w:kern w:val="2"/>
          <w:sz w:val="22"/>
          <w:szCs w:val="22"/>
          <w:highlight w:val="none"/>
        </w:rPr>
        <w:t>每车次货物</w:t>
      </w:r>
      <w:r>
        <w:rPr>
          <w:rFonts w:hint="eastAsia" w:ascii="宋体" w:hAnsi="宋体" w:eastAsia="宋体" w:cs="宋体"/>
          <w:color w:val="auto"/>
          <w:kern w:val="2"/>
          <w:sz w:val="22"/>
          <w:szCs w:val="22"/>
          <w:highlight w:val="none"/>
        </w:rPr>
        <w:t>甲方实验室初步检验报告、所有电厂项目中</w:t>
      </w:r>
      <w:r>
        <w:rPr>
          <w:rFonts w:hint="eastAsia" w:ascii="宋体" w:hAnsi="宋体" w:eastAsia="宋体" w:cs="宋体"/>
          <w:snapToGrid w:val="0"/>
          <w:color w:val="auto"/>
          <w:kern w:val="2"/>
          <w:sz w:val="22"/>
          <w:szCs w:val="22"/>
          <w:highlight w:val="none"/>
        </w:rPr>
        <w:t>每月二次随机抽检的第三方检测报告及甲方对异议货物要求乙方委托第三方出具的合格检测报告（如有）作为乙方进行结算的附件，</w:t>
      </w:r>
      <w:r>
        <w:rPr>
          <w:rFonts w:hint="eastAsia" w:ascii="宋体" w:hAnsi="宋体" w:eastAsia="宋体" w:cs="宋体"/>
          <w:color w:val="auto"/>
          <w:kern w:val="2"/>
          <w:sz w:val="22"/>
          <w:szCs w:val="22"/>
          <w:highlight w:val="none"/>
        </w:rPr>
        <w:t>若作为最终依据的</w:t>
      </w:r>
      <w:r>
        <w:rPr>
          <w:rFonts w:hint="eastAsia" w:ascii="宋体" w:hAnsi="宋体" w:eastAsia="宋体" w:cs="宋体"/>
          <w:snapToGrid w:val="0"/>
          <w:color w:val="auto"/>
          <w:kern w:val="2"/>
          <w:sz w:val="22"/>
          <w:szCs w:val="22"/>
          <w:highlight w:val="none"/>
        </w:rPr>
        <w:t>第三方检测结果不合格，则视为该车次产品不合格。若乙方在货物质量方面不能满足甲方要求，事件发生一次，甲方将出具整改单给乙方，该车次货款不予结算，且乙方须向甲方支付当月货款的2%作为违约金；</w:t>
      </w:r>
      <w:r>
        <w:rPr>
          <w:rFonts w:hint="eastAsia" w:ascii="宋体" w:hAnsi="宋体" w:eastAsia="宋体" w:cs="宋体"/>
          <w:color w:val="auto"/>
          <w:kern w:val="2"/>
          <w:sz w:val="22"/>
          <w:szCs w:val="22"/>
          <w:highlight w:val="none"/>
        </w:rPr>
        <w:t>累计不合格货物车次达三次或三次以上，乙方将被甲方列入严重不诚信行为名单，甲方有权单方面解除本合同，且乙方须向甲方支付合同总价（计划供货量*中标单价）的2%作为违约金，并赔偿甲方由此遭受的一切相关经济损失。甲方有权从履约担保中扣除违约金，履约担保不足支付部分，甲方有权另行向乙方索赔。</w:t>
      </w:r>
    </w:p>
    <w:p w14:paraId="63BE1ED6">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4、如乙方配送伪劣假冒的产品，一经查出，甲方有权立即终止本合同并追究乙方的违约责任，由此而引起的安全事故责任，由乙方承担全部责任。</w:t>
      </w:r>
    </w:p>
    <w:p w14:paraId="23ED0C84">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5、发生其他违约情形，违约方应赔偿由此给对方造成的损失。如属双方过错，应各自承担相应责任。</w:t>
      </w:r>
    </w:p>
    <w:p w14:paraId="60411FC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6、乙方交付的货物不符合合同约定的数量，乙方应按甲方要求在</w:t>
      </w:r>
      <w:r>
        <w:rPr>
          <w:rFonts w:hint="eastAsia" w:ascii="宋体" w:hAnsi="宋体" w:eastAsia="宋体" w:cs="宋体"/>
          <w:color w:val="auto"/>
          <w:kern w:val="2"/>
          <w:sz w:val="22"/>
          <w:szCs w:val="22"/>
          <w:highlight w:val="none"/>
          <w:u w:val="single"/>
        </w:rPr>
        <w:t xml:space="preserve"> 两 </w:t>
      </w:r>
      <w:r>
        <w:rPr>
          <w:rFonts w:hint="eastAsia" w:ascii="宋体" w:hAnsi="宋体" w:eastAsia="宋体" w:cs="宋体"/>
          <w:color w:val="auto"/>
          <w:kern w:val="2"/>
          <w:sz w:val="22"/>
          <w:szCs w:val="22"/>
          <w:highlight w:val="none"/>
        </w:rPr>
        <w:t>日内补足货物数量，如在甲方通知的期限内，乙方未能进行更换或补足，则乙方应承担本合同第十四条第1款逾期交货的违约责任。同时甲方有权要求乙方赔偿因其不完全履约而造成的损失。</w:t>
      </w:r>
    </w:p>
    <w:p w14:paraId="655E6778">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7、乙方擅自解除合同或者因乙方违约造成甲方解除合同的，乙方应当向甲方支付本合同总金额（</w:t>
      </w:r>
      <w:r>
        <w:rPr>
          <w:rFonts w:hint="eastAsia" w:ascii="宋体" w:hAnsi="宋体" w:eastAsia="宋体" w:cs="宋体"/>
          <w:color w:val="auto"/>
          <w:sz w:val="22"/>
          <w:szCs w:val="22"/>
          <w:highlight w:val="none"/>
        </w:rPr>
        <w:t>计划供货量*中标单价</w:t>
      </w:r>
      <w:r>
        <w:rPr>
          <w:rFonts w:hint="eastAsia" w:ascii="宋体" w:hAnsi="宋体" w:eastAsia="宋体" w:cs="宋体"/>
          <w:color w:val="auto"/>
          <w:kern w:val="2"/>
          <w:sz w:val="22"/>
          <w:szCs w:val="22"/>
          <w:highlight w:val="none"/>
        </w:rPr>
        <w:t>）2%的违约金并且赔偿甲方全部损失，同时甲方没收乙方的履约保证金。</w:t>
      </w:r>
    </w:p>
    <w:p w14:paraId="5E270123">
      <w:pPr>
        <w:widowControl w:val="0"/>
        <w:tabs>
          <w:tab w:val="left" w:pos="7920"/>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如乙方交付的货物质量不符合合同约定标准，导致甲方设备故障，甲方有权解除合同，并且乙方应当向甲方支付本合同总金额（计划供货量*中标单价）2%的违约金，如该费用不足抵扣设备维修费，甲方有权继续追偿。</w:t>
      </w:r>
    </w:p>
    <w:p w14:paraId="00936FA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9、乙方违约金的支付不免除乙方在本合同项下的各项义务。</w:t>
      </w:r>
    </w:p>
    <w:p w14:paraId="0189CA4D">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本合同中所写的全部损失皆指所造成的一切实际损失与可得利益损失、甲方另外采购的货物价格高于本合同约定价格而产生的差额，并包含承担守约方为维护自身权益所产生的一切费用，包括但不限于律师费、诉讼费、保全费、公证费、公告费等。</w:t>
      </w:r>
    </w:p>
    <w:p w14:paraId="44F97F8B">
      <w:pPr>
        <w:widowControl w:val="0"/>
        <w:adjustRightInd w:val="0"/>
        <w:snapToGrid w:val="0"/>
        <w:spacing w:line="400" w:lineRule="exact"/>
        <w:ind w:firstLine="442" w:firstLineChars="200"/>
        <w:jc w:val="both"/>
        <w:rPr>
          <w:rFonts w:hint="eastAsia" w:ascii="宋体" w:hAnsi="宋体" w:eastAsia="宋体" w:cs="宋体"/>
          <w:b/>
          <w:bCs/>
          <w:color w:val="auto"/>
          <w:kern w:val="2"/>
          <w:sz w:val="22"/>
          <w:szCs w:val="22"/>
          <w:highlight w:val="none"/>
        </w:rPr>
      </w:pPr>
    </w:p>
    <w:p w14:paraId="177B0BAF">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8" w:name="_Toc3820"/>
      <w:r>
        <w:rPr>
          <w:rFonts w:hint="eastAsia" w:ascii="宋体" w:hAnsi="宋体" w:eastAsia="宋体" w:cs="宋体"/>
          <w:b/>
          <w:color w:val="auto"/>
          <w:kern w:val="2"/>
          <w:sz w:val="22"/>
          <w:szCs w:val="22"/>
          <w:highlight w:val="none"/>
        </w:rPr>
        <w:t>第十五条  法律适用及争议解决</w:t>
      </w:r>
      <w:bookmarkEnd w:id="68"/>
    </w:p>
    <w:p w14:paraId="08E0A1D2">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1、本合同的订立、履行、变更、争议解决均适用中华人民共和国法律。</w:t>
      </w:r>
    </w:p>
    <w:p w14:paraId="6BC79C65">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2、因本合同引起的或者在履行本合同过程中产生的任何争议，双方应当协商解决。双方协商不成时，任何一方均可向甲方所在地人民法院提起诉讼。</w:t>
      </w:r>
    </w:p>
    <w:p w14:paraId="2E258BA1">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34E35EDB">
      <w:pPr>
        <w:widowControl w:val="0"/>
        <w:adjustRightInd w:val="0"/>
        <w:snapToGrid w:val="0"/>
        <w:spacing w:line="400" w:lineRule="exact"/>
        <w:ind w:firstLine="442" w:firstLineChars="200"/>
        <w:jc w:val="both"/>
        <w:outlineLvl w:val="1"/>
        <w:rPr>
          <w:rFonts w:hint="eastAsia" w:ascii="宋体" w:hAnsi="宋体" w:eastAsia="宋体" w:cs="宋体"/>
          <w:b/>
          <w:color w:val="auto"/>
          <w:kern w:val="2"/>
          <w:sz w:val="22"/>
          <w:szCs w:val="22"/>
          <w:highlight w:val="none"/>
        </w:rPr>
      </w:pPr>
      <w:bookmarkStart w:id="69" w:name="_Toc10574"/>
      <w:r>
        <w:rPr>
          <w:rFonts w:hint="eastAsia" w:ascii="宋体" w:hAnsi="宋体" w:eastAsia="宋体" w:cs="宋体"/>
          <w:b/>
          <w:color w:val="auto"/>
          <w:kern w:val="2"/>
          <w:sz w:val="22"/>
          <w:szCs w:val="22"/>
          <w:highlight w:val="none"/>
        </w:rPr>
        <w:t>第十六条  合同生效及其他</w:t>
      </w:r>
      <w:bookmarkEnd w:id="69"/>
    </w:p>
    <w:p w14:paraId="62114E52">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当保证甲方在使用货物、服务及其任何部份时不受到任何第三方关于侵犯专利权、商标权或其他知识产权的指控。任何第三方如果提出侵权指控，乙方须与第三方交涉，并承担由此而发生的一切法律责任和费用。乙方同意自费解决相关问题，同时保证甲方的利益免受损失，并且对销售和使用此设备引起的侵权导致的对甲方的一切损失和额外费用承担赔偿责任。</w:t>
      </w:r>
    </w:p>
    <w:p w14:paraId="0B561DC3">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2、任何一方对因履行本合同而获悉的对方的商业秘密负有保密义务，未经对方书面允许，不得向任何第三方披露。违反上述约定，泄露对方商业秘密的一方应当赔偿对方的全部损失。</w:t>
      </w:r>
    </w:p>
    <w:p w14:paraId="1FFE5F81">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3、本合同未尽事项，由甲、乙双方另行议定并签订补充协议。补充协议与本合同具有同等法律效力。谈判过程中形成的资料、意向与本合同不一致的一律以本合同为准。</w:t>
      </w:r>
    </w:p>
    <w:p w14:paraId="5359CB87">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任何一方向对方发出的通知和文件，应按照本合同记载的对方地址，用EMS特快专递或专人送达或电子邮件方式发出。如果使用EMS特快专递方式，在发出后第三日视为通知已到达对方；如果使用专人送达方式，则在对方法定代表人或授权代表或收件部门签收之日视为通知已到达对方；如果使用电子邮件方式，除电子邮件因技术问题被退回外，在通知方发出电子邮件时即视为通知已到达对方；如果同时使用几种通知方式的，以其中较快到达接收方者为准。</w:t>
      </w:r>
    </w:p>
    <w:p w14:paraId="4378C1F3">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5、任何一方联络方法发生变更的，应当及时书面通知另一方。在另一方收到对方变更通讯地址的通知之前，另一方根据变更前的地址所发出的通知应视为有效。</w:t>
      </w:r>
    </w:p>
    <w:p w14:paraId="511CE1E0">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6、本合同包括下列附件：</w:t>
      </w:r>
      <w:r>
        <w:rPr>
          <w:rFonts w:hint="eastAsia" w:ascii="宋体" w:hAnsi="宋体" w:eastAsia="宋体" w:cs="宋体"/>
          <w:color w:val="auto"/>
          <w:kern w:val="2"/>
          <w:sz w:val="22"/>
          <w:szCs w:val="22"/>
          <w:highlight w:val="none"/>
          <w:u w:val="single"/>
        </w:rPr>
        <w:t>__合同签订时补充_以及技术协议书、用户需求书、规格书、采购文件及</w:t>
      </w:r>
      <w:r>
        <w:rPr>
          <w:rFonts w:hint="eastAsia" w:ascii="宋体" w:hAnsi="宋体" w:cs="宋体"/>
          <w:color w:val="auto"/>
          <w:kern w:val="2"/>
          <w:sz w:val="22"/>
          <w:szCs w:val="22"/>
          <w:highlight w:val="none"/>
          <w:u w:val="single"/>
          <w:lang w:eastAsia="zh-CN"/>
        </w:rPr>
        <w:t>响应文件</w:t>
      </w:r>
      <w:r>
        <w:rPr>
          <w:rFonts w:hint="eastAsia" w:ascii="宋体" w:hAnsi="宋体" w:eastAsia="宋体" w:cs="宋体"/>
          <w:color w:val="auto"/>
          <w:kern w:val="2"/>
          <w:sz w:val="22"/>
          <w:szCs w:val="22"/>
          <w:highlight w:val="none"/>
          <w:u w:val="single"/>
        </w:rPr>
        <w:t>（如有）等</w:t>
      </w:r>
      <w:r>
        <w:rPr>
          <w:rFonts w:hint="eastAsia" w:ascii="宋体" w:hAnsi="宋体" w:eastAsia="宋体" w:cs="宋体"/>
          <w:color w:val="auto"/>
          <w:kern w:val="2"/>
          <w:sz w:val="22"/>
          <w:szCs w:val="22"/>
          <w:highlight w:val="none"/>
        </w:rPr>
        <w:t>。该等附件均为本合同不可分割的组成部分，与本合同具有同等法律效力。合同附件与本合同内容发生冲突时，以对甲方有利的内容为准。</w:t>
      </w:r>
    </w:p>
    <w:p w14:paraId="2D5402AF">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7、本合同一式_</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_份，甲方执_</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_份，乙方执_二_份，具有同等法律效力。</w:t>
      </w:r>
    </w:p>
    <w:p w14:paraId="3A3540D6">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8、双方在签署本合同前已经认真研究了合同各条内容，对合同内容无异议，同意签署。</w:t>
      </w:r>
    </w:p>
    <w:p w14:paraId="718DD0C9">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9、本合同自双方签字并盖章之日起生效，合同有效期自生效之日起至达到供货量止。</w:t>
      </w:r>
    </w:p>
    <w:p w14:paraId="132D9F8F">
      <w:pPr>
        <w:widowControl/>
        <w:adjustRightInd w:val="0"/>
        <w:snapToGrid w:val="0"/>
        <w:spacing w:line="400" w:lineRule="exact"/>
        <w:ind w:firstLine="440" w:firstLineChars="200"/>
        <w:jc w:val="left"/>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10、其他约定：_</w:t>
      </w:r>
      <w:r>
        <w:rPr>
          <w:rFonts w:hint="eastAsia" w:ascii="宋体" w:hAnsi="宋体" w:eastAsia="宋体" w:cs="宋体"/>
          <w:color w:val="auto"/>
          <w:kern w:val="2"/>
          <w:sz w:val="22"/>
          <w:szCs w:val="22"/>
          <w:highlight w:val="none"/>
          <w:u w:val="single"/>
        </w:rPr>
        <w:t>无__</w:t>
      </w:r>
      <w:r>
        <w:rPr>
          <w:rFonts w:hint="eastAsia" w:ascii="宋体" w:hAnsi="宋体" w:eastAsia="宋体" w:cs="宋体"/>
          <w:color w:val="auto"/>
          <w:kern w:val="2"/>
          <w:sz w:val="22"/>
          <w:szCs w:val="22"/>
          <w:highlight w:val="none"/>
        </w:rPr>
        <w:t>___________________。</w:t>
      </w:r>
    </w:p>
    <w:p w14:paraId="588C2C93">
      <w:pPr>
        <w:widowControl w:val="0"/>
        <w:tabs>
          <w:tab w:val="right" w:pos="8306"/>
        </w:tabs>
        <w:adjustRightInd w:val="0"/>
        <w:snapToGrid w:val="0"/>
        <w:spacing w:line="400" w:lineRule="exact"/>
        <w:ind w:firstLine="442" w:firstLineChars="200"/>
        <w:jc w:val="both"/>
        <w:rPr>
          <w:rFonts w:hint="eastAsia" w:ascii="宋体" w:hAnsi="宋体" w:eastAsia="宋体" w:cs="宋体"/>
          <w:b/>
          <w:bCs/>
          <w:snapToGrid w:val="0"/>
          <w:color w:val="auto"/>
          <w:kern w:val="2"/>
          <w:sz w:val="22"/>
          <w:szCs w:val="22"/>
          <w:highlight w:val="none"/>
        </w:rPr>
      </w:pPr>
    </w:p>
    <w:p w14:paraId="3ABF1B23">
      <w:pPr>
        <w:widowControl w:val="0"/>
        <w:tabs>
          <w:tab w:val="right" w:pos="8306"/>
        </w:tabs>
        <w:adjustRightInd w:val="0"/>
        <w:snapToGrid w:val="0"/>
        <w:spacing w:line="400" w:lineRule="exact"/>
        <w:ind w:firstLine="442" w:firstLineChars="200"/>
        <w:jc w:val="both"/>
        <w:outlineLvl w:val="1"/>
        <w:rPr>
          <w:rFonts w:hint="eastAsia" w:ascii="宋体" w:hAnsi="宋体" w:eastAsia="宋体" w:cs="宋体"/>
          <w:b/>
          <w:bCs/>
          <w:snapToGrid w:val="0"/>
          <w:color w:val="auto"/>
          <w:kern w:val="2"/>
          <w:sz w:val="22"/>
          <w:szCs w:val="22"/>
          <w:highlight w:val="none"/>
        </w:rPr>
      </w:pPr>
      <w:bookmarkStart w:id="70" w:name="_Toc17373"/>
      <w:r>
        <w:rPr>
          <w:rFonts w:hint="eastAsia" w:ascii="宋体" w:hAnsi="宋体" w:eastAsia="宋体" w:cs="宋体"/>
          <w:b/>
          <w:bCs/>
          <w:snapToGrid w:val="0"/>
          <w:color w:val="auto"/>
          <w:kern w:val="2"/>
          <w:sz w:val="22"/>
          <w:szCs w:val="22"/>
          <w:highlight w:val="none"/>
        </w:rPr>
        <w:t>第十七条  附件</w:t>
      </w:r>
      <w:bookmarkEnd w:id="70"/>
    </w:p>
    <w:p w14:paraId="0038A78F">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w:t>
      </w:r>
      <w:r>
        <w:rPr>
          <w:rFonts w:hint="eastAsia" w:ascii="宋体" w:hAnsi="宋体" w:cs="宋体"/>
          <w:color w:val="auto"/>
          <w:kern w:val="2"/>
          <w:sz w:val="22"/>
          <w:szCs w:val="22"/>
          <w:highlight w:val="none"/>
          <w:lang w:val="en-US" w:eastAsia="zh-CN"/>
        </w:rPr>
        <w:t>水处理药剂</w:t>
      </w:r>
      <w:r>
        <w:rPr>
          <w:rFonts w:hint="eastAsia" w:ascii="宋体" w:hAnsi="宋体" w:eastAsia="宋体" w:cs="宋体"/>
          <w:color w:val="auto"/>
          <w:kern w:val="2"/>
          <w:sz w:val="22"/>
          <w:szCs w:val="22"/>
          <w:highlight w:val="none"/>
        </w:rPr>
        <w:t>技术需求书</w:t>
      </w:r>
    </w:p>
    <w:p w14:paraId="5EC576BB">
      <w:pPr>
        <w:widowControl w:val="0"/>
        <w:tabs>
          <w:tab w:val="right" w:pos="8306"/>
        </w:tabs>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附件二、阳光</w:t>
      </w:r>
      <w:r>
        <w:rPr>
          <w:rFonts w:hint="eastAsia" w:ascii="宋体" w:hAnsi="宋体" w:cs="宋体"/>
          <w:color w:val="auto"/>
          <w:kern w:val="2"/>
          <w:sz w:val="22"/>
          <w:szCs w:val="22"/>
          <w:highlight w:val="none"/>
          <w:lang w:val="en-US" w:eastAsia="zh-CN"/>
        </w:rPr>
        <w:t>合作</w:t>
      </w:r>
      <w:r>
        <w:rPr>
          <w:rFonts w:hint="eastAsia" w:ascii="宋体" w:hAnsi="宋体" w:eastAsia="宋体" w:cs="宋体"/>
          <w:color w:val="auto"/>
          <w:kern w:val="2"/>
          <w:sz w:val="22"/>
          <w:szCs w:val="22"/>
          <w:highlight w:val="none"/>
        </w:rPr>
        <w:t>协议</w:t>
      </w:r>
    </w:p>
    <w:p w14:paraId="553DE855">
      <w:pPr>
        <w:widowControl w:val="0"/>
        <w:tabs>
          <w:tab w:val="right" w:pos="8306"/>
        </w:tabs>
        <w:adjustRightInd w:val="0"/>
        <w:snapToGrid w:val="0"/>
        <w:spacing w:line="400" w:lineRule="exact"/>
        <w:ind w:firstLine="440" w:firstLineChars="200"/>
        <w:jc w:val="both"/>
        <w:rPr>
          <w:rFonts w:hint="eastAsia" w:ascii="宋体" w:hAnsi="宋体" w:eastAsia="宋体" w:cs="宋体"/>
          <w:snapToGrid w:val="0"/>
          <w:color w:val="auto"/>
          <w:kern w:val="2"/>
          <w:sz w:val="22"/>
          <w:szCs w:val="22"/>
          <w:highlight w:val="none"/>
        </w:rPr>
      </w:pPr>
      <w:r>
        <w:rPr>
          <w:rFonts w:hint="eastAsia" w:ascii="宋体" w:hAnsi="宋体" w:eastAsia="宋体" w:cs="宋体"/>
          <w:snapToGrid w:val="0"/>
          <w:color w:val="auto"/>
          <w:kern w:val="2"/>
          <w:sz w:val="22"/>
          <w:szCs w:val="22"/>
          <w:highlight w:val="none"/>
        </w:rPr>
        <w:t>（以下为各方签署页，无正文）</w:t>
      </w:r>
    </w:p>
    <w:p w14:paraId="3AF6FB53">
      <w:pPr>
        <w:widowControl w:val="0"/>
        <w:adjustRightInd w:val="0"/>
        <w:snapToGrid w:val="0"/>
        <w:spacing w:line="400" w:lineRule="exact"/>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（盖章页）</w:t>
      </w:r>
    </w:p>
    <w:p w14:paraId="722A8B4D">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52C445F8">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23AA7868">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甲方：                  乙方：</w:t>
      </w:r>
    </w:p>
    <w:p w14:paraId="4BC80504">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27912D35">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 xml:space="preserve">法定代表人或授权代理人：                    法定代表人或授权代理人：  </w:t>
      </w:r>
    </w:p>
    <w:p w14:paraId="59AF5D67">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p>
    <w:p w14:paraId="73925F6A">
      <w:pPr>
        <w:widowControl w:val="0"/>
        <w:adjustRightInd w:val="0"/>
        <w:snapToGrid w:val="0"/>
        <w:spacing w:line="400" w:lineRule="exact"/>
        <w:ind w:firstLine="442" w:firstLineChars="200"/>
        <w:jc w:val="both"/>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签订日期：                                  签订日期：</w:t>
      </w:r>
    </w:p>
    <w:p w14:paraId="4FB54335">
      <w:pPr>
        <w:widowControl w:val="0"/>
        <w:adjustRightInd/>
        <w:snapToGrid/>
        <w:spacing w:line="240" w:lineRule="auto"/>
        <w:jc w:val="both"/>
        <w:rPr>
          <w:rFonts w:hint="eastAsia" w:ascii="宋体" w:hAnsi="宋体" w:eastAsia="宋体" w:cs="宋体"/>
          <w:color w:val="auto"/>
          <w:kern w:val="2"/>
          <w:sz w:val="21"/>
          <w:szCs w:val="24"/>
          <w:highlight w:val="none"/>
        </w:rPr>
      </w:pPr>
    </w:p>
    <w:p w14:paraId="450DBEDF">
      <w:pPr>
        <w:rPr>
          <w:rFonts w:hint="eastAsia" w:ascii="宋体" w:hAnsi="宋体" w:eastAsia="宋体" w:cs="宋体"/>
          <w:color w:val="auto"/>
          <w:kern w:val="2"/>
          <w:sz w:val="21"/>
          <w:szCs w:val="24"/>
          <w:highlight w:val="none"/>
        </w:rPr>
      </w:pPr>
      <w:r>
        <w:rPr>
          <w:rFonts w:hint="eastAsia" w:ascii="宋体" w:hAnsi="宋体" w:eastAsia="宋体" w:cs="宋体"/>
          <w:color w:val="auto"/>
          <w:kern w:val="2"/>
          <w:sz w:val="21"/>
          <w:szCs w:val="24"/>
          <w:highlight w:val="none"/>
        </w:rPr>
        <w:br w:type="page"/>
      </w:r>
    </w:p>
    <w:p w14:paraId="0D5BF50B">
      <w:pPr>
        <w:widowControl w:val="0"/>
        <w:adjustRightInd w:val="0"/>
        <w:snapToGrid w:val="0"/>
        <w:spacing w:line="400" w:lineRule="exact"/>
        <w:ind w:firstLine="44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附件一、</w:t>
      </w:r>
      <w:r>
        <w:rPr>
          <w:rFonts w:hint="eastAsia" w:ascii="宋体" w:hAnsi="宋体" w:cs="宋体"/>
          <w:color w:val="auto"/>
          <w:kern w:val="2"/>
          <w:sz w:val="22"/>
          <w:szCs w:val="22"/>
          <w:highlight w:val="none"/>
          <w:lang w:val="en-US" w:eastAsia="zh-CN"/>
        </w:rPr>
        <w:t>水处理药剂</w:t>
      </w:r>
      <w:r>
        <w:rPr>
          <w:rFonts w:hint="eastAsia" w:ascii="宋体" w:hAnsi="宋体" w:eastAsia="宋体" w:cs="宋体"/>
          <w:color w:val="auto"/>
          <w:kern w:val="2"/>
          <w:sz w:val="22"/>
          <w:szCs w:val="22"/>
          <w:highlight w:val="none"/>
        </w:rPr>
        <w:t>技术需求书</w:t>
      </w:r>
    </w:p>
    <w:p w14:paraId="613AF37B">
      <w:pPr>
        <w:widowControl w:val="0"/>
        <w:tabs>
          <w:tab w:val="right" w:pos="8306"/>
        </w:tabs>
        <w:adjustRightInd w:val="0"/>
        <w:snapToGrid w:val="0"/>
        <w:spacing w:line="400" w:lineRule="exact"/>
        <w:ind w:firstLine="420" w:firstLineChars="200"/>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1"/>
          <w:szCs w:val="24"/>
          <w:highlight w:val="none"/>
        </w:rPr>
        <w:br w:type="page"/>
      </w:r>
      <w:r>
        <w:rPr>
          <w:rFonts w:hint="eastAsia" w:ascii="宋体" w:hAnsi="宋体" w:eastAsia="宋体" w:cs="宋体"/>
          <w:color w:val="auto"/>
          <w:kern w:val="2"/>
          <w:sz w:val="22"/>
          <w:szCs w:val="22"/>
          <w:highlight w:val="none"/>
        </w:rPr>
        <w:t>附件二</w:t>
      </w:r>
      <w:r>
        <w:rPr>
          <w:rFonts w:hint="eastAsia" w:ascii="宋体" w:hAnsi="宋体" w:eastAsia="宋体" w:cs="宋体"/>
          <w:color w:val="auto"/>
          <w:kern w:val="2"/>
          <w:sz w:val="22"/>
          <w:szCs w:val="22"/>
          <w:highlight w:val="none"/>
          <w:lang w:val="en-US" w:eastAsia="zh-CN"/>
        </w:rPr>
        <w:t>:</w:t>
      </w:r>
      <w:r>
        <w:rPr>
          <w:rFonts w:hint="eastAsia" w:ascii="宋体" w:hAnsi="宋体" w:eastAsia="宋体" w:cs="宋体"/>
          <w:color w:val="auto"/>
          <w:kern w:val="2"/>
          <w:sz w:val="22"/>
          <w:szCs w:val="22"/>
          <w:highlight w:val="none"/>
        </w:rPr>
        <w:t>阳光</w:t>
      </w:r>
      <w:r>
        <w:rPr>
          <w:rFonts w:hint="eastAsia" w:ascii="宋体" w:hAnsi="宋体" w:cs="宋体"/>
          <w:color w:val="auto"/>
          <w:kern w:val="2"/>
          <w:sz w:val="22"/>
          <w:szCs w:val="22"/>
          <w:highlight w:val="none"/>
          <w:lang w:val="en-US" w:eastAsia="zh-CN"/>
        </w:rPr>
        <w:t>合作</w:t>
      </w:r>
      <w:r>
        <w:rPr>
          <w:rFonts w:hint="eastAsia" w:ascii="宋体" w:hAnsi="宋体" w:eastAsia="宋体" w:cs="宋体"/>
          <w:color w:val="auto"/>
          <w:kern w:val="2"/>
          <w:sz w:val="22"/>
          <w:szCs w:val="22"/>
          <w:highlight w:val="none"/>
        </w:rPr>
        <w:t>协议</w:t>
      </w:r>
    </w:p>
    <w:p w14:paraId="0360DAE6">
      <w:pPr>
        <w:widowControl w:val="0"/>
        <w:adjustRightInd/>
        <w:snapToGrid/>
        <w:spacing w:line="240" w:lineRule="auto"/>
        <w:jc w:val="both"/>
        <w:rPr>
          <w:rFonts w:hint="eastAsia" w:ascii="宋体" w:hAnsi="宋体" w:eastAsia="宋体" w:cs="宋体"/>
          <w:color w:val="auto"/>
          <w:kern w:val="2"/>
          <w:sz w:val="21"/>
          <w:szCs w:val="24"/>
          <w:highlight w:val="none"/>
        </w:rPr>
      </w:pPr>
    </w:p>
    <w:p w14:paraId="3382F49E">
      <w:pPr>
        <w:widowControl w:val="0"/>
        <w:adjustRightInd/>
        <w:snapToGrid/>
        <w:spacing w:line="360" w:lineRule="auto"/>
        <w:ind w:firstLine="883" w:firstLineChars="200"/>
        <w:jc w:val="center"/>
        <w:rPr>
          <w:rFonts w:hint="eastAsia" w:ascii="宋体" w:hAnsi="宋体" w:eastAsia="宋体" w:cs="宋体"/>
          <w:b/>
          <w:color w:val="auto"/>
          <w:kern w:val="2"/>
          <w:sz w:val="44"/>
          <w:szCs w:val="44"/>
          <w:highlight w:val="none"/>
        </w:rPr>
      </w:pPr>
      <w:r>
        <w:rPr>
          <w:rFonts w:hint="eastAsia" w:ascii="宋体" w:hAnsi="宋体" w:eastAsia="宋体" w:cs="宋体"/>
          <w:b/>
          <w:color w:val="auto"/>
          <w:kern w:val="2"/>
          <w:sz w:val="44"/>
          <w:szCs w:val="44"/>
          <w:highlight w:val="none"/>
        </w:rPr>
        <w:t>阳光合作协议</w:t>
      </w:r>
    </w:p>
    <w:p w14:paraId="06B510CC">
      <w:pPr>
        <w:widowControl w:val="0"/>
        <w:adjustRightInd/>
        <w:snapToGrid/>
        <w:spacing w:line="360" w:lineRule="auto"/>
        <w:ind w:firstLine="562" w:firstLineChars="200"/>
        <w:jc w:val="center"/>
        <w:rPr>
          <w:rFonts w:hint="eastAsia" w:ascii="宋体" w:hAnsi="宋体" w:eastAsia="宋体" w:cs="宋体"/>
          <w:b/>
          <w:color w:val="auto"/>
          <w:kern w:val="2"/>
          <w:sz w:val="28"/>
          <w:szCs w:val="28"/>
          <w:highlight w:val="none"/>
        </w:rPr>
      </w:pPr>
    </w:p>
    <w:p w14:paraId="3644CD99">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u w:val="single"/>
        </w:rPr>
      </w:pPr>
      <w:r>
        <w:rPr>
          <w:rFonts w:hint="eastAsia" w:ascii="宋体" w:hAnsi="宋体" w:eastAsia="宋体" w:cs="宋体"/>
          <w:color w:val="auto"/>
          <w:kern w:val="2"/>
          <w:sz w:val="22"/>
          <w:szCs w:val="22"/>
          <w:highlight w:val="none"/>
        </w:rPr>
        <w:t>甲方：</w:t>
      </w:r>
      <w:r>
        <w:rPr>
          <w:rFonts w:hint="eastAsia" w:ascii="宋体" w:hAnsi="宋体" w:eastAsia="宋体" w:cs="宋体"/>
          <w:color w:val="auto"/>
          <w:kern w:val="2"/>
          <w:sz w:val="22"/>
          <w:szCs w:val="22"/>
          <w:highlight w:val="none"/>
          <w:u w:val="single"/>
        </w:rPr>
        <w:t xml:space="preserve">                                      </w:t>
      </w:r>
    </w:p>
    <w:p w14:paraId="278EDBB3">
      <w:pPr>
        <w:widowControl w:val="0"/>
        <w:adjustRightInd/>
        <w:snapToGrid/>
        <w:spacing w:line="400" w:lineRule="exact"/>
        <w:jc w:val="both"/>
        <w:rPr>
          <w:rFonts w:hint="eastAsia" w:ascii="宋体" w:hAnsi="宋体" w:eastAsia="宋体" w:cs="宋体"/>
          <w:color w:val="auto"/>
          <w:kern w:val="2"/>
          <w:sz w:val="22"/>
          <w:szCs w:val="22"/>
          <w:highlight w:val="none"/>
        </w:rPr>
      </w:pPr>
    </w:p>
    <w:p w14:paraId="47E3C44E">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乙方：</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 xml:space="preserve"> </w:t>
      </w:r>
    </w:p>
    <w:p w14:paraId="6F0068E6">
      <w:pPr>
        <w:widowControl w:val="0"/>
        <w:adjustRightInd/>
        <w:snapToGrid/>
        <w:spacing w:line="400" w:lineRule="exact"/>
        <w:jc w:val="both"/>
        <w:rPr>
          <w:rFonts w:hint="eastAsia" w:ascii="宋体" w:hAnsi="宋体" w:eastAsia="宋体" w:cs="宋体"/>
          <w:color w:val="auto"/>
          <w:kern w:val="2"/>
          <w:sz w:val="22"/>
          <w:szCs w:val="22"/>
          <w:highlight w:val="none"/>
        </w:rPr>
      </w:pPr>
    </w:p>
    <w:p w14:paraId="4BC8B336">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甲乙双方于</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年</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月</w:t>
      </w:r>
      <w:r>
        <w:rPr>
          <w:rFonts w:hint="eastAsia" w:ascii="宋体" w:hAnsi="宋体" w:eastAsia="宋体" w:cs="宋体"/>
          <w:color w:val="auto"/>
          <w:kern w:val="2"/>
          <w:sz w:val="22"/>
          <w:szCs w:val="22"/>
          <w:highlight w:val="none"/>
          <w:u w:val="single"/>
        </w:rPr>
        <w:t xml:space="preserve">      </w:t>
      </w:r>
      <w:r>
        <w:rPr>
          <w:rFonts w:hint="eastAsia" w:ascii="宋体" w:hAnsi="宋体" w:eastAsia="宋体" w:cs="宋体"/>
          <w:color w:val="auto"/>
          <w:kern w:val="2"/>
          <w:sz w:val="22"/>
          <w:szCs w:val="22"/>
          <w:highlight w:val="none"/>
        </w:rPr>
        <w:t>日签署了《……合同》（以下简称原合同），为加强双方阳光合作，保证职员职业安全，甲乙双方经协商签订本协议并作为双方共同遵守的阳光合作行为准则。</w:t>
      </w:r>
    </w:p>
    <w:p w14:paraId="5B54B432">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一、甲方责任</w:t>
      </w:r>
    </w:p>
    <w:p w14:paraId="085A3BBD">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1、甲方有责任向乙方介绍本单位有关采购管理通用原则和本协议的规定。</w:t>
      </w:r>
    </w:p>
    <w:p w14:paraId="7E9EF093">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2、甲方有责任对本单位相关人员进行阳光合作教育。</w:t>
      </w:r>
    </w:p>
    <w:p w14:paraId="64B27865">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3、甲方人员应严格遵守本单位有关阳光合作管理的规定，不得接受乙方任何形式的回扣、实物、现金、有价证券、礼券等有价物品，不得参加乙方提供的旅游或其他可能影响职务行为公正履行的活动。 </w:t>
      </w:r>
    </w:p>
    <w:p w14:paraId="1874A40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4、甲方人员如违反阳光合作管理制度及本协议规定，甲方视情节轻重、影响大小给予行政及经济处罚。</w:t>
      </w:r>
    </w:p>
    <w:p w14:paraId="4C04C65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5、对于乙方举报甲方人员违反阳光合作规定的情况，甲方应及时进行调查，根据调查情况进行处理，并将调查结果向乙方反馈。</w:t>
      </w:r>
    </w:p>
    <w:p w14:paraId="3932357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6、接受举报的一方应为举报方保密，不得对举报方进行报复，对举报属实和严格遵守《阳光合作协议》的合作方，在同等条件下给予后续合作的优先权。</w:t>
      </w:r>
    </w:p>
    <w:p w14:paraId="73068073">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二、乙方责任</w:t>
      </w:r>
    </w:p>
    <w:p w14:paraId="7A055444">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1、乙方应保证乙方人员了解甲方有关采购管理通用原则和及本协议的规定，并遵照执行。</w:t>
      </w:r>
    </w:p>
    <w:p w14:paraId="7D1F4F99">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2、乙方不得以任何形式给予甲方人员回扣、赠送实物、现金、有价证券、礼券等有价物品或提供旅游等其他可能影响职务行为公正履行的活动（以下统称“财物”）。</w:t>
      </w:r>
    </w:p>
    <w:p w14:paraId="5CA2CF5A">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3、乙方有责任接受甲方对乙方在合作期间阳光合作管理执行情况的监督，并对甲方相关调查工作主动配合。</w:t>
      </w:r>
    </w:p>
    <w:p w14:paraId="57E2F48E">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4、乙方有义务就甲方人员任何形式的索取或收受财物行为及时向甲方（直接联系人为东莞实业投资控股集团有限公司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举报。如乙方或其人员向甲方人员给予财物，或甲方人员向乙方索取财物，乙方满足其要求并且未向甲方举报的，一经查实（包括但不限于被甲方核实属实，或者被司法机关或第三方核实属实的），甲方将在内部通报；乙方除应向甲方赔偿由此给甲方造成的损失外，乙方还应向甲方支付相当于原合同总价的10%的违约金，并对乙方知情不报人员进行相应处罚；连续出现2次及以上类似情况或者如因乙方在合作期间贿赂甲方人员，被司法机关立案查处核实属实的，甲方有权解除原合同，如甲方解除原合同的，则乙方应退还甲方所支付的所有款项并按原合同与本合同约定承担违约责任，且五年之内不得作为东实集团（东莞实业投资控股集团有限公司及下属子公司）合格供应商。</w:t>
      </w:r>
    </w:p>
    <w:p w14:paraId="5801E5A7">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5、甲方接受乙方实名或匿名举报，保证为举报者的信息保密，常设举报部门及电话： </w:t>
      </w:r>
    </w:p>
    <w:p w14:paraId="76FCF60A">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举报受理部门：东莞实业投资控股集团有限公司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w:t>
      </w:r>
    </w:p>
    <w:p w14:paraId="78B6DE58">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东实集团举报邮箱：dgsyxf@163.com</w:t>
      </w:r>
    </w:p>
    <w:p w14:paraId="010D279E">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东实集团举报电话：0769-28820703（周一至周五9：00-12：00和14：00-18：00）</w:t>
      </w:r>
    </w:p>
    <w:p w14:paraId="4B84FFE7">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邮寄地址：东莞市东城区八一路1号机关二号大院9号楼，东莞实业投资控股集团有限公司</w:t>
      </w:r>
      <w:r>
        <w:rPr>
          <w:rFonts w:hint="eastAsia" w:ascii="宋体" w:hAnsi="宋体" w:cs="宋体"/>
          <w:color w:val="auto"/>
          <w:kern w:val="2"/>
          <w:sz w:val="22"/>
          <w:szCs w:val="22"/>
          <w:highlight w:val="none"/>
          <w:lang w:val="en-US" w:eastAsia="zh-CN"/>
        </w:rPr>
        <w:t>风控法务</w:t>
      </w:r>
      <w:r>
        <w:rPr>
          <w:rFonts w:hint="eastAsia" w:ascii="宋体" w:hAnsi="宋体" w:eastAsia="宋体" w:cs="宋体"/>
          <w:color w:val="auto"/>
          <w:kern w:val="2"/>
          <w:sz w:val="22"/>
          <w:szCs w:val="22"/>
          <w:highlight w:val="none"/>
        </w:rPr>
        <w:t>部收，邮编523000。</w:t>
      </w:r>
    </w:p>
    <w:p w14:paraId="5B2CBDA1">
      <w:pPr>
        <w:widowControl/>
        <w:adjustRightInd/>
        <w:snapToGrid/>
        <w:spacing w:line="400" w:lineRule="exact"/>
        <w:ind w:left="420" w:leftChars="200"/>
        <w:contextualSpacing/>
        <w:jc w:val="left"/>
        <w:rPr>
          <w:rFonts w:hint="eastAsia" w:ascii="宋体" w:hAnsi="宋体" w:eastAsia="宋体" w:cs="宋体"/>
          <w:b/>
          <w:color w:val="auto"/>
          <w:kern w:val="2"/>
          <w:sz w:val="22"/>
          <w:szCs w:val="22"/>
          <w:highlight w:val="none"/>
        </w:rPr>
      </w:pPr>
      <w:r>
        <w:rPr>
          <w:rFonts w:hint="eastAsia" w:ascii="宋体" w:hAnsi="宋体" w:eastAsia="宋体" w:cs="宋体"/>
          <w:b/>
          <w:color w:val="auto"/>
          <w:kern w:val="2"/>
          <w:sz w:val="22"/>
          <w:szCs w:val="22"/>
          <w:highlight w:val="none"/>
        </w:rPr>
        <w:t>三、其他</w:t>
      </w:r>
    </w:p>
    <w:p w14:paraId="26E2ED64">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1、本协议是原合同的补充协议，与原合同有同等法律效力。</w:t>
      </w:r>
    </w:p>
    <w:p w14:paraId="631E7C6E">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2、本协议一式</w:t>
      </w:r>
      <w:r>
        <w:rPr>
          <w:rFonts w:hint="eastAsia" w:ascii="宋体" w:hAnsi="宋体" w:cs="宋体"/>
          <w:color w:val="auto"/>
          <w:kern w:val="2"/>
          <w:sz w:val="22"/>
          <w:szCs w:val="22"/>
          <w:highlight w:val="none"/>
          <w:lang w:val="en-US" w:eastAsia="zh-CN"/>
        </w:rPr>
        <w:t>伍</w:t>
      </w:r>
      <w:r>
        <w:rPr>
          <w:rFonts w:hint="eastAsia" w:ascii="宋体" w:hAnsi="宋体" w:eastAsia="宋体" w:cs="宋体"/>
          <w:color w:val="auto"/>
          <w:kern w:val="2"/>
          <w:sz w:val="22"/>
          <w:szCs w:val="22"/>
          <w:highlight w:val="none"/>
        </w:rPr>
        <w:t>份，甲方执</w:t>
      </w:r>
      <w:r>
        <w:rPr>
          <w:rFonts w:hint="eastAsia" w:ascii="宋体" w:hAnsi="宋体" w:cs="宋体"/>
          <w:color w:val="auto"/>
          <w:kern w:val="2"/>
          <w:sz w:val="22"/>
          <w:szCs w:val="22"/>
          <w:highlight w:val="none"/>
          <w:lang w:val="en-US" w:eastAsia="zh-CN"/>
        </w:rPr>
        <w:t>叁</w:t>
      </w:r>
      <w:r>
        <w:rPr>
          <w:rFonts w:hint="eastAsia" w:ascii="宋体" w:hAnsi="宋体" w:eastAsia="宋体" w:cs="宋体"/>
          <w:color w:val="auto"/>
          <w:kern w:val="2"/>
          <w:sz w:val="22"/>
          <w:szCs w:val="22"/>
          <w:highlight w:val="none"/>
        </w:rPr>
        <w:t>份，乙方执贰份,具有同等法律效力。</w:t>
      </w:r>
    </w:p>
    <w:p w14:paraId="7DC47286">
      <w:pPr>
        <w:widowControl w:val="0"/>
        <w:adjustRightInd/>
        <w:snapToGrid/>
        <w:spacing w:line="400" w:lineRule="exact"/>
        <w:ind w:left="105" w:leftChars="50"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3、本协议经双方签署后生效。</w:t>
      </w:r>
    </w:p>
    <w:p w14:paraId="1AA89F98">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5999EE7D">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 xml:space="preserve">甲方（盖章）：                      乙方（盖章）： </w:t>
      </w:r>
    </w:p>
    <w:p w14:paraId="1039CAC9">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05BEC514">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法定代表人（授权代表）：</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法定代表人（授权代表）：</w:t>
      </w:r>
    </w:p>
    <w:p w14:paraId="654C032C">
      <w:pPr>
        <w:widowControl w:val="0"/>
        <w:adjustRightInd/>
        <w:snapToGrid/>
        <w:spacing w:line="400" w:lineRule="exact"/>
        <w:ind w:firstLine="440" w:firstLineChars="200"/>
        <w:contextualSpacing/>
        <w:jc w:val="both"/>
        <w:rPr>
          <w:rFonts w:hint="eastAsia" w:ascii="宋体" w:hAnsi="宋体" w:eastAsia="宋体" w:cs="宋体"/>
          <w:color w:val="auto"/>
          <w:kern w:val="2"/>
          <w:sz w:val="22"/>
          <w:szCs w:val="22"/>
          <w:highlight w:val="none"/>
        </w:rPr>
      </w:pPr>
    </w:p>
    <w:p w14:paraId="4214393E">
      <w:pPr>
        <w:pStyle w:val="29"/>
        <w:numPr>
          <w:ilvl w:val="0"/>
          <w:numId w:val="0"/>
        </w:numPr>
        <w:spacing w:line="360" w:lineRule="auto"/>
        <w:ind w:leftChars="0" w:firstLine="440" w:firstLineChars="200"/>
        <w:outlineLvl w:val="1"/>
        <w:rPr>
          <w:rFonts w:hint="eastAsia" w:ascii="宋体" w:hAnsi="宋体" w:eastAsia="宋体" w:cs="宋体"/>
          <w:color w:val="auto"/>
          <w:kern w:val="2"/>
          <w:sz w:val="22"/>
          <w:szCs w:val="22"/>
          <w:highlight w:val="none"/>
        </w:rPr>
      </w:pPr>
      <w:r>
        <w:rPr>
          <w:rFonts w:hint="eastAsia" w:ascii="宋体" w:hAnsi="宋体" w:eastAsia="宋体" w:cs="宋体"/>
          <w:color w:val="auto"/>
          <w:kern w:val="2"/>
          <w:sz w:val="22"/>
          <w:szCs w:val="22"/>
          <w:highlight w:val="none"/>
        </w:rPr>
        <w:t>签约日期：   年   月   日</w:t>
      </w:r>
      <w:r>
        <w:rPr>
          <w:rFonts w:hint="eastAsia" w:ascii="宋体" w:hAnsi="宋体" w:eastAsia="宋体" w:cs="宋体"/>
          <w:color w:val="auto"/>
          <w:kern w:val="2"/>
          <w:sz w:val="22"/>
          <w:szCs w:val="22"/>
          <w:highlight w:val="none"/>
        </w:rPr>
        <w:tab/>
      </w:r>
      <w:r>
        <w:rPr>
          <w:rFonts w:hint="eastAsia" w:ascii="宋体" w:hAnsi="宋体" w:eastAsia="宋体" w:cs="宋体"/>
          <w:color w:val="auto"/>
          <w:kern w:val="2"/>
          <w:sz w:val="22"/>
          <w:szCs w:val="22"/>
          <w:highlight w:val="none"/>
        </w:rPr>
        <w:t xml:space="preserve">       </w:t>
      </w:r>
      <w:r>
        <w:rPr>
          <w:rFonts w:hint="eastAsia" w:ascii="宋体" w:hAnsi="宋体" w:cs="宋体"/>
          <w:color w:val="auto"/>
          <w:kern w:val="2"/>
          <w:sz w:val="22"/>
          <w:szCs w:val="22"/>
          <w:highlight w:val="none"/>
          <w:lang w:val="en-US" w:eastAsia="zh-CN"/>
        </w:rPr>
        <w:t xml:space="preserve">   </w:t>
      </w:r>
      <w:r>
        <w:rPr>
          <w:rFonts w:hint="eastAsia" w:ascii="宋体" w:hAnsi="宋体" w:eastAsia="宋体" w:cs="宋体"/>
          <w:color w:val="auto"/>
          <w:kern w:val="2"/>
          <w:sz w:val="22"/>
          <w:szCs w:val="22"/>
          <w:highlight w:val="none"/>
        </w:rPr>
        <w:t>签约日期：   年   月   日</w:t>
      </w:r>
    </w:p>
    <w:p w14:paraId="1F558476">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511125A8">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29D0835D">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76384127">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072CA029">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601E1C50">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2CACFC2B">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09D88B2C">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50CEFF0A">
      <w:pPr>
        <w:pStyle w:val="29"/>
        <w:numPr>
          <w:ilvl w:val="0"/>
          <w:numId w:val="0"/>
        </w:numPr>
        <w:spacing w:line="360" w:lineRule="auto"/>
        <w:ind w:leftChars="0"/>
        <w:outlineLvl w:val="1"/>
        <w:rPr>
          <w:rFonts w:hint="eastAsia" w:ascii="宋体" w:hAnsi="宋体" w:eastAsia="宋体" w:cs="宋体"/>
          <w:color w:val="auto"/>
          <w:kern w:val="2"/>
          <w:sz w:val="22"/>
          <w:szCs w:val="22"/>
          <w:highlight w:val="none"/>
        </w:rPr>
      </w:pPr>
    </w:p>
    <w:p w14:paraId="13B60E0E">
      <w:pPr>
        <w:pStyle w:val="7"/>
        <w:jc w:val="left"/>
        <w:rPr>
          <w:rFonts w:hint="eastAsia" w:ascii="黑体" w:hAnsi="黑体" w:eastAsia="黑体" w:cs="黑体"/>
          <w:sz w:val="32"/>
          <w:szCs w:val="32"/>
          <w:highlight w:val="none"/>
        </w:rPr>
      </w:pPr>
      <w:r>
        <w:rPr>
          <w:rFonts w:hint="eastAsia" w:ascii="黑体" w:hAnsi="黑体" w:eastAsia="黑体" w:cs="黑体"/>
          <w:sz w:val="32"/>
          <w:szCs w:val="32"/>
          <w:highlight w:val="none"/>
        </w:rPr>
        <w:t>附件八：</w:t>
      </w:r>
    </w:p>
    <w:p w14:paraId="74F56870">
      <w:pPr>
        <w:spacing w:before="156" w:beforeLines="50" w:after="156" w:afterLines="50" w:line="400" w:lineRule="exact"/>
        <w:jc w:val="center"/>
        <w:rPr>
          <w:rFonts w:hint="eastAsia" w:ascii="宋体" w:hAnsi="宋体"/>
          <w:b/>
          <w:sz w:val="32"/>
          <w:szCs w:val="32"/>
        </w:rPr>
      </w:pPr>
      <w:r>
        <w:rPr>
          <w:rFonts w:hint="eastAsia" w:ascii="宋体" w:hAnsi="宋体"/>
          <w:b/>
          <w:sz w:val="32"/>
          <w:szCs w:val="32"/>
        </w:rPr>
        <w:t>东莞市海心沙资源综合利用中心环保热电厂2026年度氨水及水处理药剂采购项目需求书</w:t>
      </w:r>
    </w:p>
    <w:p w14:paraId="05B47552">
      <w:pPr>
        <w:pBdr>
          <w:bottom w:val="double" w:color="auto" w:sz="4" w:space="1"/>
        </w:pBdr>
        <w:spacing w:line="360" w:lineRule="auto"/>
        <w:jc w:val="center"/>
        <w:rPr>
          <w:rFonts w:hint="eastAsia" w:ascii="宋体" w:hAnsi="宋体" w:cs="宋体"/>
          <w:b/>
          <w:szCs w:val="21"/>
        </w:rPr>
      </w:pPr>
      <w:r>
        <w:rPr>
          <w:rFonts w:hint="eastAsia" w:ascii="宋体" w:hAnsi="宋体" w:cs="宋体"/>
          <w:b/>
          <w:szCs w:val="21"/>
        </w:rPr>
        <w:t>商务服务要求</w:t>
      </w:r>
    </w:p>
    <w:p w14:paraId="77057C2A">
      <w:pPr>
        <w:jc w:val="center"/>
        <w:rPr>
          <w:rFonts w:hint="eastAsia" w:ascii="宋体" w:hAnsi="宋体" w:cs="宋体"/>
          <w:b/>
        </w:rPr>
      </w:pPr>
    </w:p>
    <w:p w14:paraId="28794BFF">
      <w:pPr>
        <w:spacing w:line="360" w:lineRule="auto"/>
        <w:rPr>
          <w:rFonts w:hint="eastAsia" w:ascii="宋体" w:hAnsi="宋体" w:cs="宋体"/>
          <w:b/>
          <w:szCs w:val="21"/>
        </w:rPr>
      </w:pPr>
      <w:r>
        <w:rPr>
          <w:rFonts w:hint="eastAsia" w:ascii="宋体" w:hAnsi="宋体" w:cs="宋体"/>
          <w:b/>
          <w:szCs w:val="21"/>
        </w:rPr>
        <w:t>一、项目概况：</w:t>
      </w:r>
    </w:p>
    <w:p w14:paraId="50654F7A">
      <w:pPr>
        <w:spacing w:line="360" w:lineRule="auto"/>
        <w:ind w:firstLine="420" w:firstLineChars="200"/>
        <w:rPr>
          <w:rFonts w:hint="eastAsia" w:ascii="宋体" w:hAnsi="宋体" w:cs="宋体"/>
          <w:szCs w:val="21"/>
        </w:rPr>
      </w:pPr>
      <w:r>
        <w:rPr>
          <w:rFonts w:hint="eastAsia" w:ascii="宋体" w:hAnsi="宋体" w:cs="宋体"/>
          <w:szCs w:val="21"/>
        </w:rPr>
        <w:t>1、为保障东莞市海心沙资源综合利用中心环保热电厂正常生产运营，东莞市新东元环保投资有限公司</w:t>
      </w:r>
      <w:r>
        <w:rPr>
          <w:rFonts w:hint="eastAsia" w:ascii="宋体" w:hAnsi="宋体" w:cs="宋体"/>
          <w:szCs w:val="21"/>
          <w:lang w:val="en-US" w:eastAsia="zh-CN"/>
        </w:rPr>
        <w:t>拟采购</w:t>
      </w:r>
      <w:r>
        <w:rPr>
          <w:rFonts w:hint="eastAsia" w:ascii="宋体" w:hAnsi="宋体" w:cs="宋体"/>
          <w:szCs w:val="21"/>
        </w:rPr>
        <w:t>分别选取1家供应商作为A包氨水，B包水处理生产药剂供货商。采购人根据项目需求及实际情况通知</w:t>
      </w:r>
      <w:r>
        <w:rPr>
          <w:rFonts w:hint="eastAsia" w:ascii="宋体" w:hAnsi="宋体" w:cs="宋体"/>
          <w:szCs w:val="21"/>
          <w:lang w:eastAsia="zh-CN"/>
        </w:rPr>
        <w:t>成交人</w:t>
      </w:r>
      <w:r>
        <w:rPr>
          <w:rFonts w:hint="eastAsia" w:ascii="宋体" w:hAnsi="宋体" w:cs="宋体"/>
          <w:szCs w:val="21"/>
        </w:rPr>
        <w:t>随时供货，每车次具体供货数量按采购人供货通知为准，</w:t>
      </w:r>
      <w:r>
        <w:rPr>
          <w:rFonts w:hint="eastAsia" w:ascii="宋体" w:hAnsi="宋体" w:cs="宋体"/>
          <w:szCs w:val="21"/>
          <w:lang w:eastAsia="zh-CN"/>
        </w:rPr>
        <w:t>成交人</w:t>
      </w:r>
      <w:r>
        <w:rPr>
          <w:rFonts w:hint="eastAsia" w:ascii="宋体" w:hAnsi="宋体" w:cs="宋体"/>
          <w:szCs w:val="21"/>
        </w:rPr>
        <w:t>在收到采购人通知（以订单形式、短信形式、微信、电子邮件形式均可）送货后2日内交货到厂。</w:t>
      </w:r>
      <w:r>
        <w:rPr>
          <w:rFonts w:hint="eastAsia" w:ascii="宋体" w:hAnsi="宋体" w:cs="宋体"/>
          <w:szCs w:val="21"/>
          <w:lang w:eastAsia="zh-CN"/>
        </w:rPr>
        <w:t>成交人</w:t>
      </w:r>
      <w:r>
        <w:rPr>
          <w:rFonts w:hint="eastAsia" w:ascii="宋体" w:hAnsi="宋体" w:cs="宋体"/>
          <w:szCs w:val="21"/>
        </w:rPr>
        <w:t>应当常备充足的货物，保证采购人无论每批要求供货的数量多少，均可以随时满足供货需求。紧急供货：如采购人的任一项目因突发状况要求紧急供货，</w:t>
      </w:r>
      <w:r>
        <w:rPr>
          <w:rFonts w:hint="eastAsia" w:ascii="宋体" w:hAnsi="宋体" w:cs="宋体"/>
          <w:szCs w:val="21"/>
          <w:lang w:eastAsia="zh-CN"/>
        </w:rPr>
        <w:t>成交人</w:t>
      </w:r>
      <w:r>
        <w:rPr>
          <w:rFonts w:hint="eastAsia" w:ascii="宋体" w:hAnsi="宋体" w:cs="宋体"/>
          <w:szCs w:val="21"/>
        </w:rPr>
        <w:t>应在收到采购人通知后根据采购人订单或电子邮件、短信等要求在10个小时内交货到厂。如不能在约定时间交货到厂，则承担逾期交货相关责任。在采购人的计划采购数量供应完毕后，合同期内采购人有权要求</w:t>
      </w:r>
      <w:r>
        <w:rPr>
          <w:rFonts w:hint="eastAsia" w:ascii="宋体" w:hAnsi="宋体" w:cs="宋体"/>
          <w:szCs w:val="21"/>
          <w:lang w:eastAsia="zh-CN"/>
        </w:rPr>
        <w:t>成交人</w:t>
      </w:r>
      <w:r>
        <w:rPr>
          <w:rFonts w:hint="eastAsia" w:ascii="宋体" w:hAnsi="宋体" w:cs="宋体"/>
          <w:szCs w:val="21"/>
        </w:rPr>
        <w:t>继续供货，</w:t>
      </w:r>
      <w:r>
        <w:rPr>
          <w:rFonts w:hint="eastAsia" w:ascii="宋体" w:hAnsi="宋体" w:cs="宋体"/>
          <w:szCs w:val="21"/>
          <w:lang w:eastAsia="zh-CN"/>
        </w:rPr>
        <w:t>成交人</w:t>
      </w:r>
      <w:r>
        <w:rPr>
          <w:rFonts w:hint="eastAsia" w:ascii="宋体" w:hAnsi="宋体" w:cs="宋体"/>
          <w:szCs w:val="21"/>
        </w:rPr>
        <w:t>不得提出任何异议，也不得要求采购人调整价格、支付任何赔偿或补偿。</w:t>
      </w:r>
      <w:r>
        <w:rPr>
          <w:rFonts w:hint="eastAsia" w:ascii="宋体" w:hAnsi="宋体" w:cs="宋体"/>
          <w:szCs w:val="21"/>
          <w:lang w:eastAsia="zh-CN"/>
        </w:rPr>
        <w:t>成交人</w:t>
      </w:r>
      <w:r>
        <w:rPr>
          <w:rFonts w:hint="eastAsia" w:ascii="宋体" w:hAnsi="宋体" w:cs="宋体"/>
          <w:szCs w:val="21"/>
        </w:rPr>
        <w:t>须自行考虑并承担由此引起的相关风险。</w:t>
      </w:r>
    </w:p>
    <w:p w14:paraId="59A6CCFE">
      <w:pPr>
        <w:spacing w:line="360" w:lineRule="auto"/>
        <w:ind w:firstLine="420" w:firstLineChars="200"/>
        <w:rPr>
          <w:rFonts w:hint="eastAsia" w:ascii="宋体" w:hAnsi="宋体" w:cs="宋体"/>
          <w:b/>
          <w:szCs w:val="21"/>
        </w:rPr>
      </w:pPr>
      <w:r>
        <w:rPr>
          <w:rFonts w:hint="eastAsia" w:ascii="宋体" w:hAnsi="宋体" w:cs="宋体"/>
          <w:szCs w:val="21"/>
        </w:rPr>
        <w:t>2、本技术需求书所提出的是最低限度的技术要求，并未对一切技术细节作出规定，也未充分引述有关标准和规范的条文。本技术需求书所使用的标准，如遇与</w:t>
      </w:r>
      <w:r>
        <w:rPr>
          <w:rFonts w:hint="eastAsia" w:ascii="宋体" w:hAnsi="宋体" w:cs="宋体"/>
          <w:szCs w:val="21"/>
          <w:lang w:eastAsia="zh-CN"/>
        </w:rPr>
        <w:t>成交人</w:t>
      </w:r>
      <w:r>
        <w:rPr>
          <w:rFonts w:hint="eastAsia" w:ascii="宋体" w:hAnsi="宋体" w:cs="宋体"/>
          <w:szCs w:val="21"/>
        </w:rPr>
        <w:t>所执行的标准不一致时，按较高的标准执行。如果本技术协议与现行使用的有关国家标准以及部颁标准有明显抵触的条文，</w:t>
      </w:r>
      <w:r>
        <w:rPr>
          <w:rFonts w:hint="eastAsia" w:ascii="宋体" w:hAnsi="宋体" w:cs="宋体"/>
          <w:szCs w:val="21"/>
          <w:lang w:eastAsia="zh-CN"/>
        </w:rPr>
        <w:t>成交人</w:t>
      </w:r>
      <w:r>
        <w:rPr>
          <w:rFonts w:hint="eastAsia" w:ascii="宋体" w:hAnsi="宋体" w:cs="宋体"/>
          <w:szCs w:val="21"/>
        </w:rPr>
        <w:t>应按较高的标准执行。</w:t>
      </w:r>
    </w:p>
    <w:p w14:paraId="6F1305A9">
      <w:pPr>
        <w:numPr>
          <w:ilvl w:val="0"/>
          <w:numId w:val="4"/>
        </w:numPr>
        <w:spacing w:line="360" w:lineRule="auto"/>
        <w:rPr>
          <w:rFonts w:hint="eastAsia" w:ascii="宋体" w:hAnsi="宋体" w:cs="宋体"/>
          <w:b/>
          <w:szCs w:val="21"/>
        </w:rPr>
      </w:pPr>
      <w:r>
        <w:rPr>
          <w:rFonts w:hint="eastAsia" w:ascii="宋体" w:hAnsi="宋体" w:cs="宋体"/>
          <w:b/>
          <w:szCs w:val="21"/>
        </w:rPr>
        <w:t>供货期限：</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1"/>
        <w:gridCol w:w="2393"/>
        <w:gridCol w:w="5302"/>
      </w:tblGrid>
      <w:tr w14:paraId="58ACE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 w:type="pct"/>
            <w:vAlign w:val="center"/>
          </w:tcPr>
          <w:p w14:paraId="47CD18FC">
            <w:pPr>
              <w:spacing w:line="360" w:lineRule="auto"/>
              <w:jc w:val="center"/>
              <w:rPr>
                <w:rFonts w:hint="eastAsia" w:ascii="宋体" w:hAnsi="宋体" w:cs="宋体"/>
                <w:b/>
                <w:bCs/>
                <w:szCs w:val="21"/>
              </w:rPr>
            </w:pPr>
            <w:r>
              <w:rPr>
                <w:rFonts w:hint="eastAsia" w:ascii="宋体" w:hAnsi="宋体" w:cs="宋体"/>
                <w:b/>
                <w:bCs/>
                <w:szCs w:val="21"/>
              </w:rPr>
              <w:t>包号</w:t>
            </w:r>
          </w:p>
        </w:tc>
        <w:tc>
          <w:tcPr>
            <w:tcW w:w="1405" w:type="pct"/>
            <w:vAlign w:val="center"/>
          </w:tcPr>
          <w:p w14:paraId="2244474D">
            <w:pPr>
              <w:spacing w:line="360" w:lineRule="auto"/>
              <w:jc w:val="center"/>
              <w:rPr>
                <w:rFonts w:hint="eastAsia" w:ascii="宋体" w:hAnsi="宋体" w:cs="宋体"/>
                <w:b/>
                <w:bCs/>
                <w:szCs w:val="21"/>
              </w:rPr>
            </w:pPr>
            <w:r>
              <w:rPr>
                <w:rFonts w:hint="eastAsia" w:ascii="宋体" w:hAnsi="宋体" w:cs="宋体"/>
                <w:b/>
                <w:bCs/>
                <w:szCs w:val="21"/>
              </w:rPr>
              <w:t>货物内容</w:t>
            </w:r>
          </w:p>
        </w:tc>
        <w:tc>
          <w:tcPr>
            <w:tcW w:w="3113" w:type="pct"/>
            <w:vAlign w:val="center"/>
          </w:tcPr>
          <w:p w14:paraId="307020F4">
            <w:pPr>
              <w:spacing w:line="360" w:lineRule="auto"/>
              <w:jc w:val="center"/>
              <w:rPr>
                <w:rFonts w:hint="eastAsia" w:ascii="宋体" w:hAnsi="宋体" w:cs="宋体"/>
                <w:b/>
                <w:bCs/>
                <w:szCs w:val="21"/>
              </w:rPr>
            </w:pPr>
            <w:r>
              <w:rPr>
                <w:rFonts w:hint="eastAsia" w:ascii="宋体" w:hAnsi="宋体" w:cs="宋体"/>
                <w:b/>
                <w:bCs/>
                <w:szCs w:val="21"/>
              </w:rPr>
              <w:t>供货期限</w:t>
            </w:r>
          </w:p>
        </w:tc>
      </w:tr>
      <w:tr w14:paraId="67149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 w:type="pct"/>
            <w:vAlign w:val="center"/>
          </w:tcPr>
          <w:p w14:paraId="7CC65869">
            <w:pPr>
              <w:spacing w:line="360" w:lineRule="auto"/>
              <w:jc w:val="center"/>
              <w:rPr>
                <w:rFonts w:hint="eastAsia" w:ascii="宋体" w:hAnsi="宋体" w:cs="宋体"/>
                <w:sz w:val="22"/>
              </w:rPr>
            </w:pPr>
            <w:r>
              <w:rPr>
                <w:rFonts w:hint="eastAsia" w:ascii="宋体" w:hAnsi="宋体" w:cs="宋体"/>
                <w:sz w:val="22"/>
              </w:rPr>
              <w:t>A</w:t>
            </w:r>
          </w:p>
        </w:tc>
        <w:tc>
          <w:tcPr>
            <w:tcW w:w="1405" w:type="pct"/>
            <w:vAlign w:val="center"/>
          </w:tcPr>
          <w:p w14:paraId="603AB026">
            <w:pPr>
              <w:spacing w:line="360" w:lineRule="auto"/>
              <w:jc w:val="center"/>
              <w:rPr>
                <w:rFonts w:hint="eastAsia" w:ascii="宋体" w:hAnsi="宋体" w:cs="宋体"/>
                <w:sz w:val="22"/>
              </w:rPr>
            </w:pPr>
            <w:r>
              <w:rPr>
                <w:rFonts w:hint="eastAsia" w:ascii="宋体" w:hAnsi="宋体" w:cs="宋体"/>
                <w:sz w:val="22"/>
              </w:rPr>
              <w:t>氨水</w:t>
            </w:r>
          </w:p>
        </w:tc>
        <w:tc>
          <w:tcPr>
            <w:tcW w:w="3113" w:type="pct"/>
            <w:vAlign w:val="center"/>
          </w:tcPr>
          <w:p w14:paraId="46849352">
            <w:pPr>
              <w:spacing w:line="360" w:lineRule="auto"/>
              <w:jc w:val="center"/>
              <w:rPr>
                <w:rFonts w:hint="eastAsia" w:ascii="宋体" w:hAnsi="宋体" w:cs="宋体"/>
                <w:sz w:val="22"/>
              </w:rPr>
            </w:pPr>
            <w:r>
              <w:rPr>
                <w:rFonts w:hint="eastAsia" w:ascii="宋体" w:hAnsi="宋体" w:cs="宋体"/>
                <w:sz w:val="22"/>
              </w:rPr>
              <w:t>2026年02月01日至2027年01月31日</w:t>
            </w:r>
          </w:p>
        </w:tc>
      </w:tr>
      <w:tr w14:paraId="5C4D3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2" w:type="pct"/>
            <w:vAlign w:val="center"/>
          </w:tcPr>
          <w:p w14:paraId="59923C1D">
            <w:pPr>
              <w:spacing w:line="360" w:lineRule="auto"/>
              <w:jc w:val="center"/>
              <w:rPr>
                <w:rFonts w:hint="eastAsia" w:ascii="宋体" w:hAnsi="宋体" w:cs="宋体"/>
                <w:sz w:val="22"/>
              </w:rPr>
            </w:pPr>
            <w:r>
              <w:rPr>
                <w:rFonts w:hint="eastAsia" w:ascii="宋体" w:hAnsi="宋体" w:cs="宋体"/>
                <w:sz w:val="22"/>
              </w:rPr>
              <w:t>B</w:t>
            </w:r>
          </w:p>
        </w:tc>
        <w:tc>
          <w:tcPr>
            <w:tcW w:w="1405" w:type="pct"/>
            <w:vAlign w:val="center"/>
          </w:tcPr>
          <w:p w14:paraId="5A18FA67">
            <w:pPr>
              <w:spacing w:line="360" w:lineRule="auto"/>
              <w:jc w:val="center"/>
              <w:rPr>
                <w:rFonts w:hint="eastAsia" w:ascii="宋体" w:hAnsi="宋体" w:cs="宋体"/>
                <w:sz w:val="22"/>
              </w:rPr>
            </w:pPr>
            <w:r>
              <w:rPr>
                <w:rFonts w:hint="eastAsia" w:ascii="宋体" w:hAnsi="宋体" w:cs="宋体"/>
                <w:sz w:val="22"/>
              </w:rPr>
              <w:t>水处理生产药剂</w:t>
            </w:r>
          </w:p>
        </w:tc>
        <w:tc>
          <w:tcPr>
            <w:tcW w:w="3113" w:type="pct"/>
            <w:vAlign w:val="center"/>
          </w:tcPr>
          <w:p w14:paraId="0B4B2168">
            <w:pPr>
              <w:spacing w:line="360" w:lineRule="auto"/>
              <w:jc w:val="center"/>
              <w:rPr>
                <w:rFonts w:hint="eastAsia" w:ascii="宋体" w:hAnsi="宋体" w:cs="宋体"/>
                <w:sz w:val="22"/>
              </w:rPr>
            </w:pPr>
            <w:r>
              <w:rPr>
                <w:rFonts w:hint="eastAsia" w:ascii="宋体" w:hAnsi="宋体" w:cs="宋体"/>
                <w:sz w:val="22"/>
              </w:rPr>
              <w:t>2026年02月01日至2027年01月3</w:t>
            </w:r>
            <w:r>
              <w:rPr>
                <w:rFonts w:ascii="宋体" w:hAnsi="宋体" w:cs="宋体"/>
                <w:sz w:val="22"/>
              </w:rPr>
              <w:t>1</w:t>
            </w:r>
            <w:r>
              <w:rPr>
                <w:rFonts w:hint="eastAsia" w:ascii="宋体" w:hAnsi="宋体" w:cs="宋体"/>
                <w:sz w:val="22"/>
              </w:rPr>
              <w:t>日</w:t>
            </w:r>
          </w:p>
        </w:tc>
      </w:tr>
    </w:tbl>
    <w:p w14:paraId="19B898BB">
      <w:pPr>
        <w:numPr>
          <w:ilvl w:val="0"/>
          <w:numId w:val="4"/>
        </w:numPr>
        <w:spacing w:before="156" w:beforeLines="50" w:line="360" w:lineRule="auto"/>
        <w:rPr>
          <w:rFonts w:hint="eastAsia" w:ascii="宋体" w:hAnsi="宋体" w:cs="宋体"/>
          <w:bCs/>
          <w:szCs w:val="21"/>
        </w:rPr>
      </w:pPr>
      <w:r>
        <w:rPr>
          <w:rFonts w:hint="eastAsia" w:ascii="宋体" w:hAnsi="宋体" w:cs="宋体"/>
          <w:b/>
          <w:szCs w:val="21"/>
        </w:rPr>
        <w:t>交货地点：</w:t>
      </w:r>
      <w:r>
        <w:rPr>
          <w:rFonts w:hint="eastAsia" w:ascii="宋体" w:hAnsi="宋体" w:cs="宋体"/>
          <w:bCs/>
          <w:szCs w:val="21"/>
        </w:rPr>
        <w:t>东莞市海心沙资源综合利用中心环保热电厂指定地点。</w:t>
      </w:r>
    </w:p>
    <w:p w14:paraId="59C80484">
      <w:pPr>
        <w:pStyle w:val="7"/>
        <w:spacing w:line="360" w:lineRule="auto"/>
        <w:rPr>
          <w:rFonts w:hint="eastAsia" w:ascii="宋体" w:hAnsi="宋体" w:cs="宋体"/>
          <w:bCs/>
          <w:szCs w:val="21"/>
        </w:rPr>
      </w:pPr>
      <w:r>
        <w:rPr>
          <w:rFonts w:hint="eastAsia" w:ascii="宋体" w:hAnsi="宋体" w:cs="宋体"/>
          <w:b/>
          <w:szCs w:val="21"/>
        </w:rPr>
        <w:t>四、质保期：</w:t>
      </w:r>
      <w:r>
        <w:rPr>
          <w:rFonts w:hint="eastAsia" w:ascii="宋体" w:hAnsi="宋体" w:cs="宋体"/>
          <w:bCs/>
          <w:szCs w:val="21"/>
          <w:lang w:eastAsia="zh-CN"/>
        </w:rPr>
        <w:t>成交人</w:t>
      </w:r>
      <w:r>
        <w:rPr>
          <w:rFonts w:hint="eastAsia" w:ascii="宋体" w:hAnsi="宋体" w:cs="宋体"/>
          <w:bCs/>
          <w:szCs w:val="21"/>
        </w:rPr>
        <w:t>提供自货物交付验收合格之日起，至少6个月质保期。</w:t>
      </w:r>
    </w:p>
    <w:p w14:paraId="696219D6">
      <w:pPr>
        <w:spacing w:line="360" w:lineRule="auto"/>
        <w:rPr>
          <w:rFonts w:hint="eastAsia" w:ascii="宋体" w:hAnsi="宋体" w:cs="宋体"/>
          <w:b/>
          <w:szCs w:val="21"/>
        </w:rPr>
      </w:pPr>
      <w:r>
        <w:rPr>
          <w:rFonts w:hint="eastAsia" w:ascii="宋体" w:hAnsi="宋体" w:cs="宋体"/>
          <w:b/>
          <w:szCs w:val="21"/>
        </w:rPr>
        <w:t>五、付款</w:t>
      </w:r>
      <w:r>
        <w:rPr>
          <w:rFonts w:ascii="宋体" w:hAnsi="宋体" w:cs="宋体"/>
          <w:b/>
          <w:szCs w:val="21"/>
        </w:rPr>
        <w:t>方式</w:t>
      </w:r>
    </w:p>
    <w:p w14:paraId="5179ACDD">
      <w:pPr>
        <w:pStyle w:val="7"/>
        <w:spacing w:line="360" w:lineRule="auto"/>
        <w:ind w:firstLine="420" w:firstLineChars="200"/>
        <w:rPr>
          <w:rFonts w:hint="eastAsia" w:ascii="宋体" w:hAnsi="宋体"/>
        </w:rPr>
      </w:pPr>
      <w:r>
        <w:rPr>
          <w:rFonts w:hint="eastAsia" w:ascii="宋体" w:hAnsi="宋体"/>
        </w:rPr>
        <w:t>1、按月结方式支付，每自然月结束后，</w:t>
      </w:r>
      <w:r>
        <w:rPr>
          <w:rFonts w:hint="eastAsia" w:ascii="宋体" w:hAnsi="宋体"/>
          <w:lang w:eastAsia="zh-CN"/>
        </w:rPr>
        <w:t>成交人</w:t>
      </w:r>
      <w:r>
        <w:rPr>
          <w:rFonts w:hint="eastAsia" w:ascii="宋体" w:hAnsi="宋体"/>
        </w:rPr>
        <w:t>向采购人申请结算上月货物货款。结算数量按上月</w:t>
      </w:r>
      <w:r>
        <w:rPr>
          <w:rFonts w:hint="eastAsia" w:ascii="宋体" w:hAnsi="宋体"/>
          <w:lang w:eastAsia="zh-CN"/>
        </w:rPr>
        <w:t>成交人</w:t>
      </w:r>
      <w:r>
        <w:rPr>
          <w:rFonts w:hint="eastAsia" w:ascii="宋体" w:hAnsi="宋体"/>
        </w:rPr>
        <w:t>标的货物经采购人验收合格的数量（对质量有争议的部分暂时不予结算支付），并且在采购人收到</w:t>
      </w:r>
      <w:r>
        <w:rPr>
          <w:rFonts w:hint="eastAsia" w:ascii="宋体" w:hAnsi="宋体"/>
          <w:lang w:eastAsia="zh-CN"/>
        </w:rPr>
        <w:t>成交人</w:t>
      </w:r>
      <w:r>
        <w:rPr>
          <w:rFonts w:hint="eastAsia" w:ascii="宋体" w:hAnsi="宋体"/>
        </w:rPr>
        <w:t>交付的以下资料后三十个工作日内以电汇/转账方式向</w:t>
      </w:r>
      <w:r>
        <w:rPr>
          <w:rFonts w:hint="eastAsia" w:ascii="宋体" w:hAnsi="宋体"/>
          <w:lang w:eastAsia="zh-CN"/>
        </w:rPr>
        <w:t>成交人</w:t>
      </w:r>
      <w:r>
        <w:rPr>
          <w:rFonts w:hint="eastAsia" w:ascii="宋体" w:hAnsi="宋体"/>
        </w:rPr>
        <w:t>支付：</w:t>
      </w:r>
    </w:p>
    <w:p w14:paraId="349D25D5">
      <w:pPr>
        <w:pStyle w:val="7"/>
        <w:spacing w:line="360" w:lineRule="auto"/>
        <w:ind w:firstLine="424" w:firstLineChars="202"/>
        <w:rPr>
          <w:rFonts w:hint="eastAsia" w:ascii="宋体" w:hAnsi="宋体"/>
        </w:rPr>
      </w:pPr>
      <w:r>
        <w:rPr>
          <w:rFonts w:hint="eastAsia" w:ascii="宋体" w:hAnsi="宋体"/>
        </w:rPr>
        <w:t>A．（货物的过磅计量清单）标的货物经采购人地磅计量的实际重量；</w:t>
      </w:r>
    </w:p>
    <w:p w14:paraId="260D7F5A">
      <w:pPr>
        <w:pStyle w:val="7"/>
        <w:spacing w:line="360" w:lineRule="auto"/>
        <w:ind w:firstLine="424" w:firstLineChars="202"/>
        <w:rPr>
          <w:rFonts w:hint="eastAsia" w:ascii="宋体" w:hAnsi="宋体"/>
        </w:rPr>
      </w:pPr>
      <w:r>
        <w:rPr>
          <w:rFonts w:hint="eastAsia" w:ascii="宋体" w:hAnsi="宋体"/>
        </w:rPr>
        <w:t>B．开具金额为该月验收合格货物总价100％的增值税专用发票（在合同履行期间，如遇国家的税率调整，则货款（价税合计）应根据原不含税价和调整后的税率重新计算，相应发票按调整后价格开具）；</w:t>
      </w:r>
    </w:p>
    <w:p w14:paraId="78857150">
      <w:pPr>
        <w:pStyle w:val="7"/>
        <w:spacing w:line="360" w:lineRule="auto"/>
        <w:ind w:firstLine="424" w:firstLineChars="202"/>
        <w:rPr>
          <w:rFonts w:hint="eastAsia" w:ascii="宋体" w:hAnsi="宋体"/>
        </w:rPr>
      </w:pPr>
      <w:r>
        <w:rPr>
          <w:rFonts w:hint="eastAsia" w:ascii="宋体" w:hAnsi="宋体"/>
        </w:rPr>
        <w:t>C．</w:t>
      </w:r>
      <w:r>
        <w:rPr>
          <w:rFonts w:hint="eastAsia" w:ascii="宋体" w:hAnsi="宋体"/>
          <w:lang w:eastAsia="zh-CN"/>
        </w:rPr>
        <w:t>成交人</w:t>
      </w:r>
      <w:r>
        <w:rPr>
          <w:rFonts w:hint="eastAsia" w:ascii="宋体" w:hAnsi="宋体"/>
        </w:rPr>
        <w:t>向采购人缴纳的履约担保证明资料（首次支付时需要）；</w:t>
      </w:r>
    </w:p>
    <w:p w14:paraId="6D948CA5">
      <w:pPr>
        <w:pStyle w:val="7"/>
        <w:spacing w:line="360" w:lineRule="auto"/>
        <w:ind w:firstLine="424" w:firstLineChars="202"/>
        <w:rPr>
          <w:rFonts w:hint="eastAsia" w:ascii="宋体" w:hAnsi="宋体"/>
        </w:rPr>
      </w:pPr>
      <w:r>
        <w:rPr>
          <w:rFonts w:hint="eastAsia" w:ascii="宋体" w:hAnsi="宋体"/>
        </w:rPr>
        <w:t>D．每车次货物采购人实验室初步检验报告及采购人对异议货物要求</w:t>
      </w:r>
      <w:r>
        <w:rPr>
          <w:rFonts w:hint="eastAsia" w:ascii="宋体" w:hAnsi="宋体"/>
          <w:lang w:eastAsia="zh-CN"/>
        </w:rPr>
        <w:t>成交人</w:t>
      </w:r>
      <w:r>
        <w:rPr>
          <w:rFonts w:hint="eastAsia" w:ascii="宋体" w:hAnsi="宋体"/>
        </w:rPr>
        <w:t>委托第三方出具的合格检测报告（如有）；</w:t>
      </w:r>
    </w:p>
    <w:p w14:paraId="57E9E9F3">
      <w:pPr>
        <w:pStyle w:val="7"/>
        <w:spacing w:line="360" w:lineRule="auto"/>
        <w:ind w:firstLine="424" w:firstLineChars="202"/>
        <w:rPr>
          <w:rFonts w:hint="eastAsia" w:ascii="宋体" w:hAnsi="宋体"/>
        </w:rPr>
      </w:pPr>
      <w:r>
        <w:rPr>
          <w:rFonts w:hint="eastAsia" w:ascii="宋体" w:hAnsi="宋体"/>
        </w:rPr>
        <w:t>E．送货清单（采购人指定收货人签字确认）；</w:t>
      </w:r>
    </w:p>
    <w:p w14:paraId="39EF7CB8">
      <w:pPr>
        <w:pStyle w:val="7"/>
        <w:spacing w:line="360" w:lineRule="auto"/>
        <w:ind w:firstLine="424" w:firstLineChars="202"/>
        <w:rPr>
          <w:rFonts w:hint="eastAsia" w:ascii="宋体" w:hAnsi="宋体"/>
        </w:rPr>
      </w:pPr>
      <w:r>
        <w:rPr>
          <w:rFonts w:hint="eastAsia" w:ascii="宋体" w:hAnsi="宋体"/>
        </w:rPr>
        <w:t>F．每车次货物出厂化验报告；</w:t>
      </w:r>
    </w:p>
    <w:p w14:paraId="6F356DDE">
      <w:pPr>
        <w:pStyle w:val="7"/>
        <w:spacing w:line="360" w:lineRule="auto"/>
        <w:ind w:firstLine="424" w:firstLineChars="202"/>
        <w:rPr>
          <w:rFonts w:hint="eastAsia" w:ascii="宋体" w:hAnsi="宋体"/>
        </w:rPr>
      </w:pPr>
      <w:r>
        <w:rPr>
          <w:rFonts w:hint="eastAsia" w:ascii="宋体" w:hAnsi="宋体"/>
        </w:rPr>
        <w:t>G. 双方盖章确认的月度对账单；</w:t>
      </w:r>
    </w:p>
    <w:p w14:paraId="2EC4A588">
      <w:pPr>
        <w:spacing w:line="360" w:lineRule="auto"/>
        <w:rPr>
          <w:rFonts w:hint="eastAsia" w:ascii="宋体" w:hAnsi="宋体" w:cs="宋体"/>
          <w:b/>
          <w:szCs w:val="21"/>
        </w:rPr>
      </w:pPr>
      <w:r>
        <w:rPr>
          <w:rFonts w:hint="eastAsia" w:ascii="宋体" w:hAnsi="宋体" w:cs="宋体"/>
          <w:b/>
          <w:szCs w:val="21"/>
        </w:rPr>
        <w:t>六</w:t>
      </w:r>
      <w:r>
        <w:rPr>
          <w:rFonts w:ascii="宋体" w:hAnsi="宋体" w:cs="宋体"/>
          <w:b/>
          <w:szCs w:val="21"/>
        </w:rPr>
        <w:t>、</w:t>
      </w:r>
      <w:r>
        <w:rPr>
          <w:rFonts w:hint="eastAsia" w:ascii="宋体" w:hAnsi="宋体" w:cs="宋体"/>
          <w:b/>
          <w:szCs w:val="21"/>
        </w:rPr>
        <w:t>服务质量考核</w:t>
      </w:r>
    </w:p>
    <w:p w14:paraId="490F1F82">
      <w:pPr>
        <w:spacing w:line="360" w:lineRule="auto"/>
        <w:ind w:firstLine="420" w:firstLineChars="200"/>
        <w:jc w:val="left"/>
        <w:rPr>
          <w:rFonts w:hint="eastAsia" w:ascii="宋体" w:hAnsi="宋体" w:cs="宋体"/>
          <w:szCs w:val="21"/>
        </w:rPr>
      </w:pPr>
      <w:r>
        <w:rPr>
          <w:rFonts w:hint="eastAsia" w:ascii="宋体" w:hAnsi="宋体" w:cs="宋体"/>
          <w:szCs w:val="21"/>
        </w:rPr>
        <w:t>1、采购人按《供货考核评分表》（附件）对</w:t>
      </w:r>
      <w:r>
        <w:rPr>
          <w:rFonts w:hint="eastAsia" w:ascii="宋体" w:hAnsi="宋体" w:cs="宋体"/>
          <w:szCs w:val="21"/>
          <w:lang w:eastAsia="zh-CN"/>
        </w:rPr>
        <w:t>成交人</w:t>
      </w:r>
      <w:r>
        <w:rPr>
          <w:rFonts w:hint="eastAsia" w:ascii="宋体" w:hAnsi="宋体" w:cs="宋体"/>
          <w:szCs w:val="21"/>
        </w:rPr>
        <w:t>供货质量、服务情况等进行季度考核。季度考核综合得分≥80分，</w:t>
      </w:r>
      <w:r>
        <w:rPr>
          <w:rFonts w:hint="eastAsia" w:ascii="宋体" w:hAnsi="宋体" w:cs="宋体"/>
          <w:szCs w:val="21"/>
          <w:lang w:eastAsia="zh-CN"/>
        </w:rPr>
        <w:t>成交人</w:t>
      </w:r>
      <w:r>
        <w:rPr>
          <w:rFonts w:hint="eastAsia" w:ascii="宋体" w:hAnsi="宋体" w:cs="宋体"/>
          <w:szCs w:val="21"/>
        </w:rPr>
        <w:t>继续履行合同；季度考核综合得分＜80分，采购人有权解除合同。</w:t>
      </w:r>
    </w:p>
    <w:p w14:paraId="6438948B">
      <w:pPr>
        <w:spacing w:line="360" w:lineRule="auto"/>
        <w:ind w:firstLine="420" w:firstLineChars="200"/>
        <w:jc w:val="left"/>
        <w:rPr>
          <w:rFonts w:hint="eastAsia" w:ascii="宋体" w:hAnsi="宋体" w:cs="宋体"/>
          <w:szCs w:val="21"/>
        </w:rPr>
      </w:pPr>
      <w:r>
        <w:rPr>
          <w:rFonts w:hint="eastAsia" w:ascii="宋体" w:hAnsi="宋体" w:cs="宋体"/>
          <w:szCs w:val="21"/>
        </w:rPr>
        <w:t>2、季度总评考核结果：</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6"/>
        <w:gridCol w:w="2941"/>
        <w:gridCol w:w="3529"/>
      </w:tblGrid>
      <w:tr w14:paraId="22C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69A77BEC">
            <w:pPr>
              <w:spacing w:line="360" w:lineRule="auto"/>
              <w:jc w:val="center"/>
              <w:rPr>
                <w:rFonts w:hint="eastAsia" w:ascii="宋体" w:hAnsi="宋体" w:cs="宋体"/>
                <w:b/>
                <w:bCs/>
                <w:szCs w:val="21"/>
              </w:rPr>
            </w:pPr>
            <w:r>
              <w:rPr>
                <w:rFonts w:hint="eastAsia" w:ascii="宋体" w:hAnsi="宋体" w:cs="宋体"/>
                <w:b/>
                <w:bCs/>
                <w:szCs w:val="21"/>
              </w:rPr>
              <w:t>考核结果</w:t>
            </w:r>
          </w:p>
        </w:tc>
        <w:tc>
          <w:tcPr>
            <w:tcW w:w="1727" w:type="pct"/>
            <w:vAlign w:val="center"/>
          </w:tcPr>
          <w:p w14:paraId="594A0E5C">
            <w:pPr>
              <w:spacing w:line="360" w:lineRule="auto"/>
              <w:jc w:val="center"/>
              <w:rPr>
                <w:rFonts w:hint="eastAsia" w:ascii="宋体" w:hAnsi="宋体" w:cs="宋体"/>
                <w:b/>
                <w:bCs/>
                <w:szCs w:val="21"/>
              </w:rPr>
            </w:pPr>
            <w:r>
              <w:rPr>
                <w:rFonts w:hint="eastAsia" w:ascii="宋体" w:hAnsi="宋体" w:cs="宋体"/>
                <w:b/>
                <w:bCs/>
                <w:szCs w:val="21"/>
              </w:rPr>
              <w:t>分值区间</w:t>
            </w:r>
          </w:p>
        </w:tc>
        <w:tc>
          <w:tcPr>
            <w:tcW w:w="2072" w:type="pct"/>
            <w:vAlign w:val="center"/>
          </w:tcPr>
          <w:p w14:paraId="0915C268">
            <w:pPr>
              <w:spacing w:line="360" w:lineRule="auto"/>
              <w:jc w:val="center"/>
              <w:rPr>
                <w:rFonts w:hint="eastAsia" w:ascii="宋体" w:hAnsi="宋体" w:cs="宋体"/>
                <w:b/>
                <w:bCs/>
                <w:szCs w:val="21"/>
              </w:rPr>
            </w:pPr>
            <w:r>
              <w:rPr>
                <w:rFonts w:hint="eastAsia" w:ascii="宋体" w:hAnsi="宋体" w:cs="宋体"/>
                <w:b/>
                <w:bCs/>
                <w:szCs w:val="21"/>
              </w:rPr>
              <w:t>是否继续执行合同</w:t>
            </w:r>
          </w:p>
        </w:tc>
      </w:tr>
      <w:tr w14:paraId="29CB8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1734F025">
            <w:pPr>
              <w:spacing w:line="360" w:lineRule="auto"/>
              <w:jc w:val="center"/>
              <w:rPr>
                <w:rFonts w:hint="eastAsia" w:ascii="宋体" w:hAnsi="宋体" w:cs="宋体"/>
                <w:szCs w:val="21"/>
              </w:rPr>
            </w:pPr>
            <w:r>
              <w:rPr>
                <w:rFonts w:hint="eastAsia" w:ascii="宋体" w:hAnsi="宋体" w:cs="宋体"/>
                <w:szCs w:val="21"/>
              </w:rPr>
              <w:t>合格</w:t>
            </w:r>
          </w:p>
        </w:tc>
        <w:tc>
          <w:tcPr>
            <w:tcW w:w="1727" w:type="pct"/>
            <w:vAlign w:val="center"/>
          </w:tcPr>
          <w:p w14:paraId="64ED6AA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0321266B">
            <w:pPr>
              <w:spacing w:line="360" w:lineRule="auto"/>
              <w:jc w:val="center"/>
              <w:rPr>
                <w:rFonts w:hint="eastAsia" w:ascii="宋体" w:hAnsi="宋体" w:cs="宋体"/>
                <w:szCs w:val="21"/>
              </w:rPr>
            </w:pPr>
            <w:r>
              <w:rPr>
                <w:rFonts w:hint="eastAsia" w:ascii="宋体" w:hAnsi="宋体" w:cs="宋体"/>
                <w:szCs w:val="21"/>
              </w:rPr>
              <w:t>继续执行</w:t>
            </w:r>
          </w:p>
        </w:tc>
      </w:tr>
      <w:tr w14:paraId="2C0B0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01" w:type="pct"/>
            <w:vAlign w:val="center"/>
          </w:tcPr>
          <w:p w14:paraId="012B22A4">
            <w:pPr>
              <w:spacing w:line="360" w:lineRule="auto"/>
              <w:jc w:val="center"/>
              <w:rPr>
                <w:rFonts w:hint="eastAsia" w:ascii="宋体" w:hAnsi="宋体" w:cs="宋体"/>
                <w:szCs w:val="21"/>
              </w:rPr>
            </w:pPr>
            <w:r>
              <w:rPr>
                <w:rFonts w:hint="eastAsia" w:ascii="宋体" w:hAnsi="宋体" w:cs="宋体"/>
                <w:szCs w:val="21"/>
              </w:rPr>
              <w:t>不合格</w:t>
            </w:r>
          </w:p>
        </w:tc>
        <w:tc>
          <w:tcPr>
            <w:tcW w:w="1727" w:type="pct"/>
            <w:vAlign w:val="center"/>
          </w:tcPr>
          <w:p w14:paraId="6EDC8C85">
            <w:pPr>
              <w:spacing w:line="360" w:lineRule="auto"/>
              <w:jc w:val="center"/>
              <w:rPr>
                <w:rFonts w:hint="eastAsia" w:ascii="宋体" w:hAnsi="宋体" w:cs="宋体"/>
                <w:szCs w:val="21"/>
              </w:rPr>
            </w:pPr>
            <w:r>
              <w:rPr>
                <w:rFonts w:hint="eastAsia" w:ascii="宋体" w:hAnsi="宋体" w:cs="宋体"/>
                <w:szCs w:val="21"/>
              </w:rPr>
              <w:t>综合得分＜80分</w:t>
            </w:r>
          </w:p>
        </w:tc>
        <w:tc>
          <w:tcPr>
            <w:tcW w:w="2072" w:type="pct"/>
            <w:vAlign w:val="center"/>
          </w:tcPr>
          <w:p w14:paraId="1E07CB32">
            <w:pPr>
              <w:spacing w:line="360" w:lineRule="auto"/>
              <w:jc w:val="center"/>
              <w:rPr>
                <w:rFonts w:hint="eastAsia" w:ascii="宋体" w:hAnsi="宋体" w:cs="宋体"/>
                <w:szCs w:val="21"/>
              </w:rPr>
            </w:pPr>
            <w:r>
              <w:rPr>
                <w:rFonts w:hint="eastAsia" w:ascii="宋体" w:hAnsi="宋体" w:cs="宋体"/>
                <w:szCs w:val="21"/>
              </w:rPr>
              <w:t>任一次不合格采购人有权解除合同</w:t>
            </w:r>
          </w:p>
        </w:tc>
      </w:tr>
    </w:tbl>
    <w:p w14:paraId="3EE62566">
      <w:pPr>
        <w:spacing w:before="156" w:beforeLines="50" w:line="360" w:lineRule="auto"/>
        <w:rPr>
          <w:rFonts w:hint="eastAsia" w:ascii="宋体" w:hAnsi="宋体" w:cs="宋体"/>
          <w:szCs w:val="21"/>
        </w:rPr>
      </w:pPr>
      <w:r>
        <w:rPr>
          <w:rFonts w:hint="eastAsia" w:ascii="宋体" w:hAnsi="宋体" w:cs="宋体"/>
          <w:b/>
          <w:bCs/>
          <w:szCs w:val="21"/>
        </w:rPr>
        <w:t>附件《供货考核评分表》</w:t>
      </w:r>
    </w:p>
    <w:tbl>
      <w:tblPr>
        <w:tblStyle w:val="16"/>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
        <w:gridCol w:w="701"/>
        <w:gridCol w:w="757"/>
        <w:gridCol w:w="5201"/>
        <w:gridCol w:w="639"/>
        <w:gridCol w:w="665"/>
        <w:gridCol w:w="957"/>
      </w:tblGrid>
      <w:tr w14:paraId="58167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662" w:type="dxa"/>
            <w:vAlign w:val="center"/>
          </w:tcPr>
          <w:p w14:paraId="1E359D30">
            <w:pPr>
              <w:spacing w:line="360" w:lineRule="auto"/>
              <w:jc w:val="center"/>
              <w:rPr>
                <w:rFonts w:hint="eastAsia" w:ascii="宋体" w:hAnsi="宋体" w:cs="宋体"/>
                <w:b/>
                <w:szCs w:val="21"/>
              </w:rPr>
            </w:pPr>
            <w:r>
              <w:rPr>
                <w:rFonts w:hint="eastAsia" w:ascii="宋体" w:hAnsi="宋体" w:cs="宋体"/>
                <w:b/>
                <w:szCs w:val="21"/>
              </w:rPr>
              <w:t>序号</w:t>
            </w:r>
          </w:p>
        </w:tc>
        <w:tc>
          <w:tcPr>
            <w:tcW w:w="701" w:type="dxa"/>
            <w:vAlign w:val="center"/>
          </w:tcPr>
          <w:p w14:paraId="09DBF9D5">
            <w:pPr>
              <w:spacing w:line="360" w:lineRule="auto"/>
              <w:jc w:val="center"/>
              <w:rPr>
                <w:rFonts w:hint="eastAsia" w:ascii="宋体" w:hAnsi="宋体" w:cs="宋体"/>
                <w:b/>
                <w:szCs w:val="21"/>
              </w:rPr>
            </w:pPr>
            <w:r>
              <w:rPr>
                <w:rFonts w:hint="eastAsia" w:ascii="宋体" w:hAnsi="宋体" w:cs="宋体"/>
                <w:b/>
                <w:szCs w:val="21"/>
              </w:rPr>
              <w:t>类别</w:t>
            </w:r>
          </w:p>
        </w:tc>
        <w:tc>
          <w:tcPr>
            <w:tcW w:w="757" w:type="dxa"/>
            <w:vAlign w:val="center"/>
          </w:tcPr>
          <w:p w14:paraId="570C071E">
            <w:pPr>
              <w:spacing w:line="360" w:lineRule="auto"/>
              <w:jc w:val="center"/>
              <w:rPr>
                <w:rFonts w:hint="eastAsia" w:ascii="宋体" w:hAnsi="宋体" w:cs="宋体"/>
                <w:b/>
                <w:szCs w:val="21"/>
              </w:rPr>
            </w:pPr>
            <w:r>
              <w:rPr>
                <w:rFonts w:hint="eastAsia" w:ascii="宋体" w:hAnsi="宋体" w:cs="宋体"/>
                <w:b/>
                <w:szCs w:val="21"/>
              </w:rPr>
              <w:t>细分项目</w:t>
            </w:r>
          </w:p>
        </w:tc>
        <w:tc>
          <w:tcPr>
            <w:tcW w:w="5201" w:type="dxa"/>
            <w:vAlign w:val="center"/>
          </w:tcPr>
          <w:p w14:paraId="0379E038">
            <w:pPr>
              <w:spacing w:line="360" w:lineRule="auto"/>
              <w:jc w:val="center"/>
              <w:rPr>
                <w:rFonts w:hint="eastAsia" w:ascii="宋体" w:hAnsi="宋体" w:cs="宋体"/>
                <w:b/>
                <w:szCs w:val="21"/>
              </w:rPr>
            </w:pPr>
            <w:r>
              <w:rPr>
                <w:rFonts w:hint="eastAsia" w:ascii="宋体" w:hAnsi="宋体" w:cs="宋体"/>
                <w:b/>
                <w:szCs w:val="21"/>
              </w:rPr>
              <w:t>评分细则</w:t>
            </w:r>
          </w:p>
        </w:tc>
        <w:tc>
          <w:tcPr>
            <w:tcW w:w="639" w:type="dxa"/>
            <w:vAlign w:val="center"/>
          </w:tcPr>
          <w:p w14:paraId="759B8168">
            <w:pPr>
              <w:spacing w:line="360" w:lineRule="auto"/>
              <w:jc w:val="center"/>
              <w:rPr>
                <w:rFonts w:hint="eastAsia" w:ascii="宋体" w:hAnsi="宋体" w:cs="宋体"/>
                <w:b/>
                <w:szCs w:val="21"/>
              </w:rPr>
            </w:pPr>
            <w:r>
              <w:rPr>
                <w:rFonts w:hint="eastAsia" w:ascii="宋体" w:hAnsi="宋体" w:cs="宋体"/>
                <w:b/>
                <w:szCs w:val="21"/>
              </w:rPr>
              <w:t>满分</w:t>
            </w:r>
          </w:p>
        </w:tc>
        <w:tc>
          <w:tcPr>
            <w:tcW w:w="665" w:type="dxa"/>
            <w:vAlign w:val="center"/>
          </w:tcPr>
          <w:p w14:paraId="69C07468">
            <w:pPr>
              <w:spacing w:line="360" w:lineRule="auto"/>
              <w:jc w:val="center"/>
              <w:rPr>
                <w:rFonts w:hint="eastAsia" w:ascii="宋体" w:hAnsi="宋体" w:cs="宋体"/>
                <w:b/>
                <w:szCs w:val="21"/>
              </w:rPr>
            </w:pPr>
            <w:r>
              <w:rPr>
                <w:rFonts w:hint="eastAsia" w:ascii="宋体" w:hAnsi="宋体" w:cs="宋体"/>
                <w:b/>
                <w:szCs w:val="21"/>
              </w:rPr>
              <w:t>评分</w:t>
            </w:r>
          </w:p>
        </w:tc>
        <w:tc>
          <w:tcPr>
            <w:tcW w:w="957" w:type="dxa"/>
          </w:tcPr>
          <w:p w14:paraId="173E9CEA">
            <w:pPr>
              <w:spacing w:line="360" w:lineRule="auto"/>
              <w:jc w:val="center"/>
              <w:rPr>
                <w:rFonts w:hint="eastAsia" w:ascii="宋体" w:hAnsi="宋体" w:cs="宋体"/>
                <w:b/>
                <w:szCs w:val="21"/>
              </w:rPr>
            </w:pPr>
            <w:r>
              <w:rPr>
                <w:rFonts w:hint="eastAsia" w:ascii="宋体" w:hAnsi="宋体" w:cs="宋体"/>
                <w:b/>
                <w:szCs w:val="21"/>
              </w:rPr>
              <w:t>扣分/加分事由</w:t>
            </w:r>
          </w:p>
        </w:tc>
      </w:tr>
      <w:tr w14:paraId="03DED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662" w:type="dxa"/>
            <w:vAlign w:val="center"/>
          </w:tcPr>
          <w:p w14:paraId="71AF2227">
            <w:pPr>
              <w:spacing w:line="360" w:lineRule="auto"/>
              <w:jc w:val="center"/>
              <w:rPr>
                <w:rFonts w:hint="eastAsia" w:ascii="宋体" w:hAnsi="宋体" w:cs="宋体"/>
                <w:szCs w:val="21"/>
              </w:rPr>
            </w:pPr>
            <w:r>
              <w:rPr>
                <w:rFonts w:hint="eastAsia" w:ascii="宋体" w:hAnsi="宋体" w:cs="宋体"/>
                <w:szCs w:val="21"/>
              </w:rPr>
              <w:t>1</w:t>
            </w:r>
          </w:p>
        </w:tc>
        <w:tc>
          <w:tcPr>
            <w:tcW w:w="701" w:type="dxa"/>
            <w:vMerge w:val="restart"/>
            <w:vAlign w:val="center"/>
          </w:tcPr>
          <w:p w14:paraId="66BE2ED9">
            <w:pPr>
              <w:spacing w:line="360" w:lineRule="auto"/>
              <w:jc w:val="center"/>
              <w:rPr>
                <w:rFonts w:hint="eastAsia" w:ascii="宋体" w:hAnsi="宋体" w:cs="宋体"/>
                <w:szCs w:val="21"/>
              </w:rPr>
            </w:pPr>
            <w:r>
              <w:rPr>
                <w:rFonts w:hint="eastAsia" w:ascii="宋体" w:hAnsi="宋体" w:cs="宋体"/>
                <w:szCs w:val="21"/>
              </w:rPr>
              <w:t>送货质量</w:t>
            </w:r>
          </w:p>
        </w:tc>
        <w:tc>
          <w:tcPr>
            <w:tcW w:w="757" w:type="dxa"/>
            <w:vAlign w:val="center"/>
          </w:tcPr>
          <w:p w14:paraId="29181E43">
            <w:pPr>
              <w:spacing w:line="360" w:lineRule="auto"/>
              <w:jc w:val="center"/>
              <w:rPr>
                <w:rFonts w:hint="eastAsia" w:ascii="宋体" w:hAnsi="宋体" w:cs="宋体"/>
                <w:szCs w:val="21"/>
              </w:rPr>
            </w:pPr>
            <w:r>
              <w:rPr>
                <w:rFonts w:hint="eastAsia" w:ascii="宋体" w:hAnsi="宋体" w:cs="宋体"/>
                <w:szCs w:val="21"/>
              </w:rPr>
              <w:t>交货及时</w:t>
            </w:r>
          </w:p>
        </w:tc>
        <w:tc>
          <w:tcPr>
            <w:tcW w:w="5201" w:type="dxa"/>
            <w:vAlign w:val="center"/>
          </w:tcPr>
          <w:p w14:paraId="1D4DCB9B">
            <w:pPr>
              <w:spacing w:line="360" w:lineRule="auto"/>
              <w:jc w:val="left"/>
              <w:rPr>
                <w:rFonts w:hint="eastAsia" w:ascii="宋体" w:hAnsi="宋体" w:cs="宋体"/>
                <w:szCs w:val="21"/>
              </w:rPr>
            </w:pPr>
            <w:r>
              <w:rPr>
                <w:rFonts w:hint="eastAsia" w:ascii="宋体" w:hAnsi="宋体" w:cs="宋体"/>
                <w:szCs w:val="21"/>
              </w:rPr>
              <w:t>每逾期1天交货扣3分，逾期达3天及以上交货扣10分，扣至0分为止。</w:t>
            </w:r>
          </w:p>
        </w:tc>
        <w:tc>
          <w:tcPr>
            <w:tcW w:w="639" w:type="dxa"/>
            <w:vAlign w:val="center"/>
          </w:tcPr>
          <w:p w14:paraId="4C88B5ED">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33B81CEA">
            <w:pPr>
              <w:spacing w:line="360" w:lineRule="auto"/>
              <w:jc w:val="center"/>
              <w:rPr>
                <w:rFonts w:hint="eastAsia" w:ascii="宋体" w:hAnsi="宋体" w:cs="宋体"/>
                <w:szCs w:val="21"/>
              </w:rPr>
            </w:pPr>
          </w:p>
        </w:tc>
        <w:tc>
          <w:tcPr>
            <w:tcW w:w="957" w:type="dxa"/>
            <w:vAlign w:val="center"/>
          </w:tcPr>
          <w:p w14:paraId="393A125A">
            <w:pPr>
              <w:spacing w:line="360" w:lineRule="auto"/>
              <w:jc w:val="center"/>
              <w:rPr>
                <w:rFonts w:hint="eastAsia" w:ascii="宋体" w:hAnsi="宋体" w:cs="宋体"/>
                <w:szCs w:val="21"/>
              </w:rPr>
            </w:pPr>
          </w:p>
        </w:tc>
      </w:tr>
      <w:tr w14:paraId="249B6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17B4E0D1">
            <w:pPr>
              <w:spacing w:line="360" w:lineRule="auto"/>
              <w:jc w:val="center"/>
              <w:rPr>
                <w:rFonts w:hint="eastAsia" w:ascii="宋体" w:hAnsi="宋体" w:cs="宋体"/>
                <w:szCs w:val="21"/>
              </w:rPr>
            </w:pPr>
            <w:r>
              <w:rPr>
                <w:rFonts w:hint="eastAsia" w:ascii="宋体" w:hAnsi="宋体" w:cs="宋体"/>
                <w:szCs w:val="21"/>
              </w:rPr>
              <w:t>2</w:t>
            </w:r>
          </w:p>
        </w:tc>
        <w:tc>
          <w:tcPr>
            <w:tcW w:w="701" w:type="dxa"/>
            <w:vMerge w:val="continue"/>
            <w:vAlign w:val="center"/>
          </w:tcPr>
          <w:p w14:paraId="112169AD">
            <w:pPr>
              <w:widowControl/>
              <w:spacing w:line="360" w:lineRule="auto"/>
              <w:jc w:val="left"/>
              <w:rPr>
                <w:rFonts w:hint="eastAsia" w:ascii="宋体" w:hAnsi="宋体" w:cs="宋体"/>
                <w:szCs w:val="21"/>
              </w:rPr>
            </w:pPr>
          </w:p>
        </w:tc>
        <w:tc>
          <w:tcPr>
            <w:tcW w:w="757" w:type="dxa"/>
            <w:vAlign w:val="center"/>
          </w:tcPr>
          <w:p w14:paraId="49DFCAB8">
            <w:pPr>
              <w:spacing w:line="360" w:lineRule="auto"/>
              <w:jc w:val="center"/>
              <w:rPr>
                <w:rFonts w:hint="eastAsia" w:ascii="宋体" w:hAnsi="宋体" w:cs="宋体"/>
                <w:szCs w:val="21"/>
              </w:rPr>
            </w:pPr>
            <w:r>
              <w:rPr>
                <w:rFonts w:hint="eastAsia" w:ascii="宋体" w:hAnsi="宋体" w:cs="宋体"/>
                <w:szCs w:val="21"/>
              </w:rPr>
              <w:t>现场整洁</w:t>
            </w:r>
          </w:p>
        </w:tc>
        <w:tc>
          <w:tcPr>
            <w:tcW w:w="5201" w:type="dxa"/>
            <w:vAlign w:val="center"/>
          </w:tcPr>
          <w:p w14:paraId="2970C984">
            <w:pPr>
              <w:spacing w:line="360" w:lineRule="auto"/>
              <w:jc w:val="left"/>
              <w:rPr>
                <w:rFonts w:hint="eastAsia" w:ascii="宋体" w:hAnsi="宋体" w:cs="宋体"/>
                <w:szCs w:val="21"/>
              </w:rPr>
            </w:pPr>
            <w:r>
              <w:rPr>
                <w:rFonts w:hint="eastAsia" w:ascii="宋体" w:hAnsi="宋体" w:cs="宋体"/>
                <w:szCs w:val="21"/>
              </w:rPr>
              <w:t>卸货范围内的卫生保持整洁，全月无投诉得10分，每次投诉扣3分，扣至0分为止。</w:t>
            </w:r>
          </w:p>
        </w:tc>
        <w:tc>
          <w:tcPr>
            <w:tcW w:w="639" w:type="dxa"/>
            <w:vAlign w:val="center"/>
          </w:tcPr>
          <w:p w14:paraId="66EF8A2B">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E947CD3">
            <w:pPr>
              <w:spacing w:line="360" w:lineRule="auto"/>
              <w:jc w:val="center"/>
              <w:rPr>
                <w:rFonts w:hint="eastAsia" w:ascii="宋体" w:hAnsi="宋体" w:cs="宋体"/>
                <w:szCs w:val="21"/>
              </w:rPr>
            </w:pPr>
          </w:p>
        </w:tc>
        <w:tc>
          <w:tcPr>
            <w:tcW w:w="957" w:type="dxa"/>
            <w:vAlign w:val="center"/>
          </w:tcPr>
          <w:p w14:paraId="71855F06">
            <w:pPr>
              <w:spacing w:line="360" w:lineRule="auto"/>
              <w:jc w:val="center"/>
              <w:rPr>
                <w:rFonts w:hint="eastAsia" w:ascii="宋体" w:hAnsi="宋体" w:cs="宋体"/>
                <w:szCs w:val="21"/>
              </w:rPr>
            </w:pPr>
          </w:p>
        </w:tc>
      </w:tr>
      <w:tr w14:paraId="1E856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8F5C89E">
            <w:pPr>
              <w:spacing w:line="360" w:lineRule="auto"/>
              <w:jc w:val="center"/>
              <w:rPr>
                <w:rFonts w:hint="eastAsia" w:ascii="宋体" w:hAnsi="宋体" w:cs="宋体"/>
                <w:szCs w:val="21"/>
              </w:rPr>
            </w:pPr>
            <w:r>
              <w:rPr>
                <w:rFonts w:hint="eastAsia" w:ascii="宋体" w:hAnsi="宋体" w:cs="宋体"/>
                <w:szCs w:val="21"/>
              </w:rPr>
              <w:t>4</w:t>
            </w:r>
          </w:p>
        </w:tc>
        <w:tc>
          <w:tcPr>
            <w:tcW w:w="701" w:type="dxa"/>
            <w:vMerge w:val="restart"/>
            <w:vAlign w:val="center"/>
          </w:tcPr>
          <w:p w14:paraId="081E5C6C">
            <w:pPr>
              <w:spacing w:line="360" w:lineRule="auto"/>
              <w:jc w:val="center"/>
              <w:rPr>
                <w:rFonts w:hint="eastAsia" w:ascii="宋体" w:hAnsi="宋体" w:cs="宋体"/>
                <w:szCs w:val="21"/>
              </w:rPr>
            </w:pPr>
            <w:r>
              <w:rPr>
                <w:rFonts w:hint="eastAsia" w:ascii="宋体" w:hAnsi="宋体" w:cs="宋体"/>
                <w:szCs w:val="21"/>
              </w:rPr>
              <w:t>产品质量</w:t>
            </w:r>
          </w:p>
        </w:tc>
        <w:tc>
          <w:tcPr>
            <w:tcW w:w="757" w:type="dxa"/>
          </w:tcPr>
          <w:p w14:paraId="0FCC5B00">
            <w:pPr>
              <w:spacing w:line="360" w:lineRule="auto"/>
              <w:jc w:val="center"/>
              <w:rPr>
                <w:rFonts w:hint="eastAsia" w:ascii="宋体" w:hAnsi="宋体" w:cs="宋体"/>
                <w:szCs w:val="21"/>
              </w:rPr>
            </w:pPr>
            <w:r>
              <w:rPr>
                <w:rFonts w:hint="eastAsia" w:ascii="宋体" w:hAnsi="宋体" w:cs="宋体"/>
                <w:szCs w:val="21"/>
              </w:rPr>
              <w:t>现场检测</w:t>
            </w:r>
          </w:p>
        </w:tc>
        <w:tc>
          <w:tcPr>
            <w:tcW w:w="5201" w:type="dxa"/>
            <w:vAlign w:val="center"/>
          </w:tcPr>
          <w:p w14:paraId="2DCBD895">
            <w:pPr>
              <w:spacing w:line="360" w:lineRule="auto"/>
              <w:jc w:val="left"/>
              <w:rPr>
                <w:rFonts w:hint="eastAsia" w:ascii="宋体" w:hAnsi="宋体" w:cs="宋体"/>
                <w:szCs w:val="21"/>
              </w:rPr>
            </w:pPr>
            <w:r>
              <w:rPr>
                <w:rFonts w:hint="eastAsia" w:ascii="宋体" w:hAnsi="宋体" w:cs="宋体"/>
                <w:szCs w:val="21"/>
              </w:rPr>
              <w:t>产品现场检验如出现不合格情况，每次扣3分，扣至0分为止。</w:t>
            </w:r>
          </w:p>
        </w:tc>
        <w:tc>
          <w:tcPr>
            <w:tcW w:w="639" w:type="dxa"/>
            <w:vAlign w:val="center"/>
          </w:tcPr>
          <w:p w14:paraId="00408DD8">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478E5669">
            <w:pPr>
              <w:spacing w:line="360" w:lineRule="auto"/>
              <w:jc w:val="center"/>
              <w:rPr>
                <w:rFonts w:hint="eastAsia" w:ascii="宋体" w:hAnsi="宋体" w:cs="宋体"/>
                <w:szCs w:val="21"/>
              </w:rPr>
            </w:pPr>
          </w:p>
        </w:tc>
        <w:tc>
          <w:tcPr>
            <w:tcW w:w="957" w:type="dxa"/>
            <w:vAlign w:val="center"/>
          </w:tcPr>
          <w:p w14:paraId="3A95C3CD">
            <w:pPr>
              <w:spacing w:line="360" w:lineRule="auto"/>
              <w:jc w:val="center"/>
              <w:rPr>
                <w:rFonts w:hint="eastAsia" w:ascii="宋体" w:hAnsi="宋体" w:cs="宋体"/>
                <w:szCs w:val="21"/>
              </w:rPr>
            </w:pPr>
          </w:p>
        </w:tc>
      </w:tr>
      <w:tr w14:paraId="7ED12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7EBB9884">
            <w:pPr>
              <w:spacing w:line="360" w:lineRule="auto"/>
              <w:jc w:val="center"/>
              <w:rPr>
                <w:rFonts w:hint="eastAsia" w:ascii="宋体" w:hAnsi="宋体" w:cs="宋体"/>
                <w:szCs w:val="21"/>
              </w:rPr>
            </w:pPr>
            <w:r>
              <w:rPr>
                <w:rFonts w:hint="eastAsia" w:ascii="宋体" w:hAnsi="宋体" w:cs="宋体"/>
                <w:szCs w:val="21"/>
              </w:rPr>
              <w:t>5</w:t>
            </w:r>
          </w:p>
        </w:tc>
        <w:tc>
          <w:tcPr>
            <w:tcW w:w="701" w:type="dxa"/>
            <w:vMerge w:val="continue"/>
            <w:vAlign w:val="center"/>
          </w:tcPr>
          <w:p w14:paraId="7DD6FEBA">
            <w:pPr>
              <w:widowControl/>
              <w:spacing w:line="360" w:lineRule="auto"/>
              <w:jc w:val="left"/>
              <w:rPr>
                <w:rFonts w:hint="eastAsia" w:ascii="宋体" w:hAnsi="宋体" w:cs="宋体"/>
                <w:szCs w:val="21"/>
              </w:rPr>
            </w:pPr>
          </w:p>
        </w:tc>
        <w:tc>
          <w:tcPr>
            <w:tcW w:w="757" w:type="dxa"/>
          </w:tcPr>
          <w:p w14:paraId="3BF732A9">
            <w:pPr>
              <w:spacing w:line="360" w:lineRule="auto"/>
              <w:jc w:val="center"/>
              <w:rPr>
                <w:rFonts w:hint="eastAsia" w:ascii="宋体" w:hAnsi="宋体" w:cs="宋体"/>
                <w:szCs w:val="21"/>
              </w:rPr>
            </w:pPr>
            <w:r>
              <w:rPr>
                <w:rFonts w:hint="eastAsia" w:ascii="宋体" w:hAnsi="宋体" w:cs="宋体"/>
                <w:szCs w:val="21"/>
              </w:rPr>
              <w:t>换货及时</w:t>
            </w:r>
          </w:p>
        </w:tc>
        <w:tc>
          <w:tcPr>
            <w:tcW w:w="5201" w:type="dxa"/>
            <w:vAlign w:val="center"/>
          </w:tcPr>
          <w:p w14:paraId="155F586F">
            <w:pPr>
              <w:spacing w:line="360" w:lineRule="auto"/>
              <w:jc w:val="left"/>
              <w:rPr>
                <w:rFonts w:hint="eastAsia" w:ascii="宋体" w:hAnsi="宋体" w:cs="宋体"/>
                <w:szCs w:val="21"/>
              </w:rPr>
            </w:pPr>
            <w:r>
              <w:rPr>
                <w:rFonts w:hint="eastAsia" w:ascii="宋体" w:hAnsi="宋体" w:cs="宋体"/>
                <w:szCs w:val="21"/>
              </w:rPr>
              <w:t>产品不合格换货情况，需按采购人要求在10个小时内完成换货，每超出一次扣3分，扣至0分为止。</w:t>
            </w:r>
          </w:p>
        </w:tc>
        <w:tc>
          <w:tcPr>
            <w:tcW w:w="639" w:type="dxa"/>
            <w:vAlign w:val="center"/>
          </w:tcPr>
          <w:p w14:paraId="05D06867">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2741F53C">
            <w:pPr>
              <w:spacing w:line="360" w:lineRule="auto"/>
              <w:jc w:val="center"/>
              <w:rPr>
                <w:rFonts w:hint="eastAsia" w:ascii="宋体" w:hAnsi="宋体" w:cs="宋体"/>
                <w:szCs w:val="21"/>
              </w:rPr>
            </w:pPr>
          </w:p>
        </w:tc>
        <w:tc>
          <w:tcPr>
            <w:tcW w:w="957" w:type="dxa"/>
            <w:vAlign w:val="center"/>
          </w:tcPr>
          <w:p w14:paraId="2869D305">
            <w:pPr>
              <w:spacing w:line="360" w:lineRule="auto"/>
              <w:jc w:val="center"/>
              <w:rPr>
                <w:rFonts w:hint="eastAsia" w:ascii="宋体" w:hAnsi="宋体" w:cs="宋体"/>
                <w:szCs w:val="21"/>
              </w:rPr>
            </w:pPr>
          </w:p>
        </w:tc>
      </w:tr>
      <w:tr w14:paraId="4EBFC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7DBF60E">
            <w:pPr>
              <w:spacing w:line="360" w:lineRule="auto"/>
              <w:jc w:val="center"/>
              <w:rPr>
                <w:rFonts w:hint="eastAsia" w:ascii="宋体" w:hAnsi="宋体" w:cs="宋体"/>
                <w:szCs w:val="21"/>
              </w:rPr>
            </w:pPr>
            <w:r>
              <w:rPr>
                <w:rFonts w:hint="eastAsia" w:ascii="宋体" w:hAnsi="宋体" w:cs="宋体"/>
                <w:szCs w:val="21"/>
              </w:rPr>
              <w:t>6</w:t>
            </w:r>
          </w:p>
        </w:tc>
        <w:tc>
          <w:tcPr>
            <w:tcW w:w="701" w:type="dxa"/>
            <w:vMerge w:val="continue"/>
            <w:vAlign w:val="center"/>
          </w:tcPr>
          <w:p w14:paraId="0C7B4FBB">
            <w:pPr>
              <w:widowControl/>
              <w:spacing w:line="360" w:lineRule="auto"/>
              <w:jc w:val="left"/>
              <w:rPr>
                <w:rFonts w:hint="eastAsia" w:ascii="宋体" w:hAnsi="宋体" w:cs="宋体"/>
                <w:szCs w:val="21"/>
              </w:rPr>
            </w:pPr>
          </w:p>
        </w:tc>
        <w:tc>
          <w:tcPr>
            <w:tcW w:w="757" w:type="dxa"/>
          </w:tcPr>
          <w:p w14:paraId="71AE67D6">
            <w:pPr>
              <w:spacing w:line="360" w:lineRule="auto"/>
              <w:jc w:val="center"/>
              <w:rPr>
                <w:rFonts w:hint="eastAsia" w:ascii="宋体" w:hAnsi="宋体" w:cs="宋体"/>
                <w:szCs w:val="21"/>
              </w:rPr>
            </w:pPr>
            <w:r>
              <w:rPr>
                <w:rFonts w:hint="eastAsia" w:ascii="宋体" w:hAnsi="宋体" w:cs="宋体"/>
                <w:szCs w:val="21"/>
              </w:rPr>
              <w:t>质量异议</w:t>
            </w:r>
          </w:p>
        </w:tc>
        <w:tc>
          <w:tcPr>
            <w:tcW w:w="5201" w:type="dxa"/>
            <w:vAlign w:val="center"/>
          </w:tcPr>
          <w:p w14:paraId="4AD271B4">
            <w:pPr>
              <w:spacing w:line="360" w:lineRule="auto"/>
              <w:jc w:val="left"/>
              <w:rPr>
                <w:rFonts w:hint="eastAsia" w:ascii="宋体" w:hAnsi="宋体" w:cs="宋体"/>
                <w:szCs w:val="21"/>
              </w:rPr>
            </w:pPr>
            <w:r>
              <w:rPr>
                <w:rFonts w:hint="eastAsia" w:ascii="宋体" w:hAnsi="宋体" w:cs="宋体"/>
                <w:szCs w:val="21"/>
              </w:rPr>
              <w:t>如出现质量异议问题，送第三方检测后发生一次不合格扣10分，发生二次及以上不合格扣20分，扣至0分为止。</w:t>
            </w:r>
          </w:p>
        </w:tc>
        <w:tc>
          <w:tcPr>
            <w:tcW w:w="639" w:type="dxa"/>
            <w:vAlign w:val="center"/>
          </w:tcPr>
          <w:p w14:paraId="0660F510">
            <w:pPr>
              <w:spacing w:line="360" w:lineRule="auto"/>
              <w:jc w:val="center"/>
              <w:rPr>
                <w:rFonts w:hint="eastAsia" w:ascii="宋体" w:hAnsi="宋体" w:cs="宋体"/>
                <w:szCs w:val="21"/>
              </w:rPr>
            </w:pPr>
            <w:r>
              <w:rPr>
                <w:rFonts w:hint="eastAsia" w:ascii="宋体" w:hAnsi="宋体" w:cs="宋体"/>
                <w:szCs w:val="21"/>
              </w:rPr>
              <w:t>20</w:t>
            </w:r>
          </w:p>
        </w:tc>
        <w:tc>
          <w:tcPr>
            <w:tcW w:w="665" w:type="dxa"/>
            <w:vAlign w:val="center"/>
          </w:tcPr>
          <w:p w14:paraId="50A62527">
            <w:pPr>
              <w:spacing w:line="360" w:lineRule="auto"/>
              <w:jc w:val="center"/>
              <w:rPr>
                <w:rFonts w:hint="eastAsia" w:ascii="宋体" w:hAnsi="宋体" w:cs="宋体"/>
                <w:szCs w:val="21"/>
              </w:rPr>
            </w:pPr>
          </w:p>
        </w:tc>
        <w:tc>
          <w:tcPr>
            <w:tcW w:w="957" w:type="dxa"/>
            <w:vAlign w:val="center"/>
          </w:tcPr>
          <w:p w14:paraId="10EC27CE">
            <w:pPr>
              <w:spacing w:line="360" w:lineRule="auto"/>
              <w:jc w:val="center"/>
              <w:rPr>
                <w:rFonts w:hint="eastAsia" w:ascii="宋体" w:hAnsi="宋体" w:cs="宋体"/>
                <w:szCs w:val="21"/>
              </w:rPr>
            </w:pPr>
          </w:p>
        </w:tc>
      </w:tr>
      <w:tr w14:paraId="585E9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2F2CFC73">
            <w:pPr>
              <w:spacing w:line="360" w:lineRule="auto"/>
              <w:jc w:val="center"/>
              <w:rPr>
                <w:rFonts w:hint="eastAsia" w:ascii="宋体" w:hAnsi="宋体" w:cs="宋体"/>
                <w:szCs w:val="21"/>
              </w:rPr>
            </w:pPr>
            <w:r>
              <w:rPr>
                <w:rFonts w:hint="eastAsia" w:ascii="宋体" w:hAnsi="宋体" w:cs="宋体"/>
                <w:szCs w:val="21"/>
              </w:rPr>
              <w:t>7</w:t>
            </w:r>
          </w:p>
        </w:tc>
        <w:tc>
          <w:tcPr>
            <w:tcW w:w="701" w:type="dxa"/>
            <w:vMerge w:val="restart"/>
            <w:vAlign w:val="center"/>
          </w:tcPr>
          <w:p w14:paraId="6BDD879D">
            <w:pPr>
              <w:spacing w:line="360" w:lineRule="auto"/>
              <w:jc w:val="center"/>
              <w:rPr>
                <w:rFonts w:hint="eastAsia" w:ascii="宋体" w:hAnsi="宋体" w:cs="宋体"/>
                <w:szCs w:val="21"/>
              </w:rPr>
            </w:pPr>
            <w:r>
              <w:rPr>
                <w:rFonts w:hint="eastAsia" w:ascii="宋体" w:hAnsi="宋体" w:cs="宋体"/>
                <w:szCs w:val="21"/>
              </w:rPr>
              <w:t>技术服务</w:t>
            </w:r>
          </w:p>
        </w:tc>
        <w:tc>
          <w:tcPr>
            <w:tcW w:w="757" w:type="dxa"/>
            <w:vAlign w:val="center"/>
          </w:tcPr>
          <w:p w14:paraId="2CA888F3">
            <w:pPr>
              <w:spacing w:line="360" w:lineRule="auto"/>
              <w:jc w:val="center"/>
              <w:rPr>
                <w:rFonts w:hint="eastAsia" w:ascii="宋体" w:hAnsi="宋体" w:cs="宋体"/>
                <w:szCs w:val="21"/>
              </w:rPr>
            </w:pPr>
            <w:r>
              <w:rPr>
                <w:rFonts w:hint="eastAsia" w:ascii="宋体" w:hAnsi="宋体" w:cs="宋体"/>
                <w:szCs w:val="21"/>
              </w:rPr>
              <w:t>技术咨询</w:t>
            </w:r>
          </w:p>
        </w:tc>
        <w:tc>
          <w:tcPr>
            <w:tcW w:w="5201" w:type="dxa"/>
            <w:vAlign w:val="center"/>
          </w:tcPr>
          <w:p w14:paraId="589A8FF1">
            <w:pPr>
              <w:spacing w:line="360" w:lineRule="auto"/>
              <w:jc w:val="left"/>
              <w:rPr>
                <w:rFonts w:hint="eastAsia" w:ascii="宋体" w:hAnsi="宋体" w:cs="宋体"/>
                <w:szCs w:val="21"/>
              </w:rPr>
            </w:pPr>
            <w:r>
              <w:rPr>
                <w:rFonts w:hint="eastAsia" w:ascii="宋体" w:hAnsi="宋体" w:cs="宋体"/>
                <w:szCs w:val="21"/>
              </w:rPr>
              <w:t>技术咨询及时反馈，未及时反馈（通常指一天内）一次扣2分，扣至0分为止。</w:t>
            </w:r>
          </w:p>
        </w:tc>
        <w:tc>
          <w:tcPr>
            <w:tcW w:w="639" w:type="dxa"/>
            <w:vAlign w:val="center"/>
          </w:tcPr>
          <w:p w14:paraId="3C90FD33">
            <w:pPr>
              <w:spacing w:line="360" w:lineRule="auto"/>
              <w:jc w:val="center"/>
              <w:rPr>
                <w:rFonts w:hint="eastAsia" w:ascii="宋体" w:hAnsi="宋体" w:cs="宋体"/>
                <w:szCs w:val="21"/>
              </w:rPr>
            </w:pPr>
            <w:r>
              <w:rPr>
                <w:rFonts w:hint="eastAsia" w:ascii="宋体" w:hAnsi="宋体" w:cs="宋体"/>
                <w:szCs w:val="21"/>
              </w:rPr>
              <w:t>5</w:t>
            </w:r>
          </w:p>
        </w:tc>
        <w:tc>
          <w:tcPr>
            <w:tcW w:w="665" w:type="dxa"/>
            <w:vAlign w:val="center"/>
          </w:tcPr>
          <w:p w14:paraId="214E4F8B">
            <w:pPr>
              <w:spacing w:line="360" w:lineRule="auto"/>
              <w:jc w:val="center"/>
              <w:rPr>
                <w:rFonts w:hint="eastAsia" w:ascii="宋体" w:hAnsi="宋体" w:cs="宋体"/>
                <w:szCs w:val="21"/>
              </w:rPr>
            </w:pPr>
          </w:p>
        </w:tc>
        <w:tc>
          <w:tcPr>
            <w:tcW w:w="957" w:type="dxa"/>
            <w:vAlign w:val="center"/>
          </w:tcPr>
          <w:p w14:paraId="544E3BF2">
            <w:pPr>
              <w:spacing w:line="360" w:lineRule="auto"/>
              <w:jc w:val="center"/>
              <w:rPr>
                <w:rFonts w:hint="eastAsia" w:ascii="宋体" w:hAnsi="宋体" w:cs="宋体"/>
                <w:szCs w:val="21"/>
              </w:rPr>
            </w:pPr>
          </w:p>
        </w:tc>
      </w:tr>
      <w:tr w14:paraId="553DA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F250FF5">
            <w:pPr>
              <w:spacing w:line="360" w:lineRule="auto"/>
              <w:jc w:val="center"/>
              <w:rPr>
                <w:rFonts w:hint="eastAsia" w:ascii="宋体" w:hAnsi="宋体" w:cs="宋体"/>
                <w:szCs w:val="21"/>
              </w:rPr>
            </w:pPr>
            <w:r>
              <w:rPr>
                <w:rFonts w:hint="eastAsia" w:ascii="宋体" w:hAnsi="宋体" w:cs="宋体"/>
                <w:szCs w:val="21"/>
              </w:rPr>
              <w:t>8</w:t>
            </w:r>
          </w:p>
        </w:tc>
        <w:tc>
          <w:tcPr>
            <w:tcW w:w="701" w:type="dxa"/>
            <w:vMerge w:val="continue"/>
            <w:vAlign w:val="center"/>
          </w:tcPr>
          <w:p w14:paraId="0BE1FD1A">
            <w:pPr>
              <w:widowControl/>
              <w:spacing w:line="360" w:lineRule="auto"/>
              <w:jc w:val="left"/>
              <w:rPr>
                <w:rFonts w:hint="eastAsia" w:ascii="宋体" w:hAnsi="宋体" w:cs="宋体"/>
                <w:szCs w:val="21"/>
              </w:rPr>
            </w:pPr>
          </w:p>
        </w:tc>
        <w:tc>
          <w:tcPr>
            <w:tcW w:w="757" w:type="dxa"/>
            <w:vAlign w:val="center"/>
          </w:tcPr>
          <w:p w14:paraId="77B792C7">
            <w:pPr>
              <w:spacing w:line="360" w:lineRule="auto"/>
              <w:jc w:val="center"/>
              <w:rPr>
                <w:rFonts w:hint="eastAsia" w:ascii="宋体" w:hAnsi="宋体" w:cs="宋体"/>
                <w:szCs w:val="21"/>
              </w:rPr>
            </w:pPr>
            <w:r>
              <w:rPr>
                <w:rFonts w:hint="eastAsia" w:ascii="宋体" w:hAnsi="宋体" w:cs="宋体"/>
                <w:szCs w:val="21"/>
              </w:rPr>
              <w:t>现场服务</w:t>
            </w:r>
          </w:p>
        </w:tc>
        <w:tc>
          <w:tcPr>
            <w:tcW w:w="5201" w:type="dxa"/>
            <w:vAlign w:val="center"/>
          </w:tcPr>
          <w:p w14:paraId="5886CF4F">
            <w:pPr>
              <w:spacing w:line="360" w:lineRule="auto"/>
              <w:jc w:val="left"/>
              <w:rPr>
                <w:rFonts w:hint="eastAsia" w:ascii="宋体" w:hAnsi="宋体" w:cs="宋体"/>
                <w:szCs w:val="21"/>
              </w:rPr>
            </w:pPr>
            <w:r>
              <w:rPr>
                <w:rFonts w:hint="eastAsia" w:ascii="宋体" w:hAnsi="宋体" w:cs="宋体"/>
                <w:szCs w:val="21"/>
              </w:rPr>
              <w:t>如甲方需要提供现场服务，未按需求及时到达现场（通常指2天内）一次扣3分，扣至0分为止。</w:t>
            </w:r>
          </w:p>
        </w:tc>
        <w:tc>
          <w:tcPr>
            <w:tcW w:w="639" w:type="dxa"/>
            <w:vAlign w:val="center"/>
          </w:tcPr>
          <w:p w14:paraId="46CBDCA5">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15DC82B5">
            <w:pPr>
              <w:spacing w:line="360" w:lineRule="auto"/>
              <w:jc w:val="center"/>
              <w:rPr>
                <w:rFonts w:hint="eastAsia" w:ascii="宋体" w:hAnsi="宋体" w:cs="宋体"/>
                <w:szCs w:val="21"/>
              </w:rPr>
            </w:pPr>
          </w:p>
        </w:tc>
        <w:tc>
          <w:tcPr>
            <w:tcW w:w="957" w:type="dxa"/>
            <w:vAlign w:val="center"/>
          </w:tcPr>
          <w:p w14:paraId="478F0849">
            <w:pPr>
              <w:spacing w:line="360" w:lineRule="auto"/>
              <w:jc w:val="center"/>
              <w:rPr>
                <w:rFonts w:hint="eastAsia" w:ascii="宋体" w:hAnsi="宋体" w:cs="宋体"/>
                <w:szCs w:val="21"/>
              </w:rPr>
            </w:pPr>
          </w:p>
        </w:tc>
      </w:tr>
      <w:tr w14:paraId="5F37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39C8326A">
            <w:pPr>
              <w:spacing w:line="360" w:lineRule="auto"/>
              <w:jc w:val="center"/>
              <w:rPr>
                <w:rFonts w:hint="eastAsia" w:ascii="宋体" w:hAnsi="宋体" w:cs="宋体"/>
                <w:szCs w:val="21"/>
              </w:rPr>
            </w:pPr>
            <w:r>
              <w:rPr>
                <w:rFonts w:hint="eastAsia" w:ascii="宋体" w:hAnsi="宋体" w:cs="宋体"/>
                <w:szCs w:val="21"/>
              </w:rPr>
              <w:t>9</w:t>
            </w:r>
          </w:p>
        </w:tc>
        <w:tc>
          <w:tcPr>
            <w:tcW w:w="701" w:type="dxa"/>
            <w:vMerge w:val="restart"/>
            <w:vAlign w:val="center"/>
          </w:tcPr>
          <w:p w14:paraId="5042E85F">
            <w:pPr>
              <w:spacing w:line="360" w:lineRule="auto"/>
              <w:jc w:val="center"/>
              <w:rPr>
                <w:rFonts w:hint="eastAsia" w:ascii="宋体" w:hAnsi="宋体" w:cs="宋体"/>
                <w:szCs w:val="21"/>
              </w:rPr>
            </w:pPr>
            <w:r>
              <w:rPr>
                <w:rFonts w:hint="eastAsia" w:ascii="宋体" w:hAnsi="宋体" w:cs="宋体"/>
                <w:szCs w:val="21"/>
              </w:rPr>
              <w:t>服务质量水平</w:t>
            </w:r>
          </w:p>
        </w:tc>
        <w:tc>
          <w:tcPr>
            <w:tcW w:w="757" w:type="dxa"/>
            <w:vAlign w:val="center"/>
          </w:tcPr>
          <w:p w14:paraId="31D95283">
            <w:pPr>
              <w:spacing w:line="360" w:lineRule="auto"/>
              <w:jc w:val="center"/>
              <w:rPr>
                <w:rFonts w:hint="eastAsia" w:ascii="宋体" w:hAnsi="宋体" w:cs="宋体"/>
                <w:szCs w:val="21"/>
              </w:rPr>
            </w:pPr>
            <w:r>
              <w:rPr>
                <w:rFonts w:hint="eastAsia" w:ascii="宋体" w:hAnsi="宋体" w:cs="宋体"/>
                <w:szCs w:val="21"/>
              </w:rPr>
              <w:t>服务整改</w:t>
            </w:r>
          </w:p>
        </w:tc>
        <w:tc>
          <w:tcPr>
            <w:tcW w:w="5201" w:type="dxa"/>
            <w:vAlign w:val="center"/>
          </w:tcPr>
          <w:p w14:paraId="793F48CC">
            <w:pPr>
              <w:spacing w:line="360" w:lineRule="auto"/>
              <w:jc w:val="left"/>
              <w:rPr>
                <w:rFonts w:hint="eastAsia" w:ascii="宋体" w:hAnsi="宋体" w:cs="宋体"/>
                <w:szCs w:val="21"/>
              </w:rPr>
            </w:pPr>
            <w:r>
              <w:rPr>
                <w:rFonts w:hint="eastAsia" w:ascii="宋体" w:hAnsi="宋体" w:cs="宋体"/>
                <w:szCs w:val="21"/>
              </w:rPr>
              <w:t>每次因收到各种途径的投诉下发的整改单扣5分，如整改后效果明显改善可免除扣分，该项扣至0分为止。</w:t>
            </w:r>
          </w:p>
        </w:tc>
        <w:tc>
          <w:tcPr>
            <w:tcW w:w="639" w:type="dxa"/>
            <w:vAlign w:val="center"/>
          </w:tcPr>
          <w:p w14:paraId="0BD8B8D1">
            <w:pPr>
              <w:spacing w:line="360" w:lineRule="auto"/>
              <w:jc w:val="center"/>
              <w:rPr>
                <w:rFonts w:hint="eastAsia" w:ascii="宋体" w:hAnsi="宋体" w:cs="宋体"/>
                <w:szCs w:val="21"/>
              </w:rPr>
            </w:pPr>
            <w:r>
              <w:rPr>
                <w:rFonts w:hint="eastAsia" w:ascii="宋体" w:hAnsi="宋体" w:cs="宋体"/>
                <w:szCs w:val="21"/>
              </w:rPr>
              <w:t>15</w:t>
            </w:r>
          </w:p>
        </w:tc>
        <w:tc>
          <w:tcPr>
            <w:tcW w:w="665" w:type="dxa"/>
            <w:vAlign w:val="center"/>
          </w:tcPr>
          <w:p w14:paraId="1436E366">
            <w:pPr>
              <w:spacing w:line="360" w:lineRule="auto"/>
              <w:jc w:val="center"/>
              <w:rPr>
                <w:rFonts w:hint="eastAsia" w:ascii="宋体" w:hAnsi="宋体" w:cs="宋体"/>
                <w:szCs w:val="21"/>
              </w:rPr>
            </w:pPr>
          </w:p>
        </w:tc>
        <w:tc>
          <w:tcPr>
            <w:tcW w:w="957" w:type="dxa"/>
            <w:vAlign w:val="center"/>
          </w:tcPr>
          <w:p w14:paraId="18BE7FBF">
            <w:pPr>
              <w:spacing w:line="360" w:lineRule="auto"/>
              <w:jc w:val="center"/>
              <w:rPr>
                <w:rFonts w:hint="eastAsia" w:ascii="宋体" w:hAnsi="宋体" w:cs="宋体"/>
                <w:szCs w:val="21"/>
              </w:rPr>
            </w:pPr>
          </w:p>
        </w:tc>
      </w:tr>
      <w:tr w14:paraId="59E6F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6FF616D5">
            <w:pPr>
              <w:spacing w:line="360" w:lineRule="auto"/>
              <w:jc w:val="center"/>
              <w:rPr>
                <w:rFonts w:hint="eastAsia" w:ascii="宋体" w:hAnsi="宋体" w:cs="宋体"/>
                <w:szCs w:val="21"/>
              </w:rPr>
            </w:pPr>
            <w:r>
              <w:rPr>
                <w:rFonts w:hint="eastAsia" w:ascii="宋体" w:hAnsi="宋体" w:cs="宋体"/>
                <w:szCs w:val="21"/>
              </w:rPr>
              <w:t>10</w:t>
            </w:r>
          </w:p>
        </w:tc>
        <w:tc>
          <w:tcPr>
            <w:tcW w:w="701" w:type="dxa"/>
            <w:vMerge w:val="continue"/>
            <w:vAlign w:val="center"/>
          </w:tcPr>
          <w:p w14:paraId="4ED6CE4F">
            <w:pPr>
              <w:widowControl/>
              <w:spacing w:line="360" w:lineRule="auto"/>
              <w:jc w:val="left"/>
              <w:rPr>
                <w:rFonts w:hint="eastAsia" w:ascii="宋体" w:hAnsi="宋体" w:cs="宋体"/>
                <w:szCs w:val="21"/>
              </w:rPr>
            </w:pPr>
          </w:p>
        </w:tc>
        <w:tc>
          <w:tcPr>
            <w:tcW w:w="757" w:type="dxa"/>
            <w:vAlign w:val="center"/>
          </w:tcPr>
          <w:p w14:paraId="21B579F4">
            <w:pPr>
              <w:spacing w:line="360" w:lineRule="auto"/>
              <w:jc w:val="center"/>
              <w:rPr>
                <w:rFonts w:hint="eastAsia" w:ascii="宋体" w:hAnsi="宋体" w:cs="宋体"/>
                <w:szCs w:val="21"/>
              </w:rPr>
            </w:pPr>
            <w:r>
              <w:rPr>
                <w:rFonts w:hint="eastAsia" w:ascii="宋体" w:hAnsi="宋体" w:cs="宋体"/>
                <w:szCs w:val="21"/>
              </w:rPr>
              <w:t>整改逾期</w:t>
            </w:r>
          </w:p>
        </w:tc>
        <w:tc>
          <w:tcPr>
            <w:tcW w:w="5201" w:type="dxa"/>
            <w:vAlign w:val="center"/>
          </w:tcPr>
          <w:p w14:paraId="4A144388">
            <w:pPr>
              <w:spacing w:line="360" w:lineRule="auto"/>
              <w:jc w:val="left"/>
              <w:rPr>
                <w:rFonts w:hint="eastAsia" w:ascii="宋体" w:hAnsi="宋体" w:cs="宋体"/>
                <w:szCs w:val="21"/>
              </w:rPr>
            </w:pPr>
            <w:r>
              <w:rPr>
                <w:rFonts w:hint="eastAsia" w:ascii="宋体" w:hAnsi="宋体" w:cs="宋体"/>
                <w:szCs w:val="21"/>
              </w:rPr>
              <w:t>每次服务整改逾期扣5分，如在整改规定日期前完成可免除扣分，该项扣至0分为止。</w:t>
            </w:r>
          </w:p>
        </w:tc>
        <w:tc>
          <w:tcPr>
            <w:tcW w:w="639" w:type="dxa"/>
            <w:vAlign w:val="center"/>
          </w:tcPr>
          <w:p w14:paraId="066F9399">
            <w:pPr>
              <w:spacing w:line="360" w:lineRule="auto"/>
              <w:jc w:val="center"/>
              <w:rPr>
                <w:rFonts w:hint="eastAsia" w:ascii="宋体" w:hAnsi="宋体" w:cs="宋体"/>
                <w:szCs w:val="21"/>
              </w:rPr>
            </w:pPr>
            <w:r>
              <w:rPr>
                <w:rFonts w:hint="eastAsia" w:ascii="宋体" w:hAnsi="宋体" w:cs="宋体"/>
                <w:szCs w:val="21"/>
              </w:rPr>
              <w:t>10</w:t>
            </w:r>
          </w:p>
        </w:tc>
        <w:tc>
          <w:tcPr>
            <w:tcW w:w="665" w:type="dxa"/>
            <w:vAlign w:val="center"/>
          </w:tcPr>
          <w:p w14:paraId="017E0A3C">
            <w:pPr>
              <w:spacing w:line="360" w:lineRule="auto"/>
              <w:jc w:val="center"/>
              <w:rPr>
                <w:rFonts w:hint="eastAsia" w:ascii="宋体" w:hAnsi="宋体" w:cs="宋体"/>
                <w:szCs w:val="21"/>
              </w:rPr>
            </w:pPr>
          </w:p>
        </w:tc>
        <w:tc>
          <w:tcPr>
            <w:tcW w:w="957" w:type="dxa"/>
            <w:vAlign w:val="center"/>
          </w:tcPr>
          <w:p w14:paraId="5B5B555F">
            <w:pPr>
              <w:spacing w:line="360" w:lineRule="auto"/>
              <w:jc w:val="center"/>
              <w:rPr>
                <w:rFonts w:hint="eastAsia" w:ascii="宋体" w:hAnsi="宋体" w:cs="宋体"/>
                <w:szCs w:val="21"/>
              </w:rPr>
            </w:pPr>
          </w:p>
        </w:tc>
      </w:tr>
      <w:tr w14:paraId="6A12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0BF13D3E">
            <w:pPr>
              <w:spacing w:line="360" w:lineRule="auto"/>
              <w:jc w:val="center"/>
              <w:rPr>
                <w:rFonts w:hint="eastAsia" w:ascii="宋体" w:hAnsi="宋体" w:cs="宋体"/>
                <w:szCs w:val="21"/>
              </w:rPr>
            </w:pPr>
          </w:p>
        </w:tc>
        <w:tc>
          <w:tcPr>
            <w:tcW w:w="701" w:type="dxa"/>
            <w:vMerge w:val="restart"/>
            <w:vAlign w:val="center"/>
          </w:tcPr>
          <w:p w14:paraId="40C71DDC">
            <w:pPr>
              <w:widowControl/>
              <w:spacing w:line="360" w:lineRule="auto"/>
              <w:jc w:val="left"/>
              <w:rPr>
                <w:rFonts w:hint="eastAsia" w:ascii="宋体" w:hAnsi="宋体" w:cs="宋体"/>
                <w:szCs w:val="21"/>
              </w:rPr>
            </w:pPr>
            <w:r>
              <w:rPr>
                <w:rFonts w:hint="eastAsia" w:ascii="宋体" w:hAnsi="宋体" w:cs="宋体"/>
                <w:szCs w:val="21"/>
              </w:rPr>
              <w:t>加分项</w:t>
            </w:r>
          </w:p>
        </w:tc>
        <w:tc>
          <w:tcPr>
            <w:tcW w:w="757" w:type="dxa"/>
            <w:vAlign w:val="center"/>
          </w:tcPr>
          <w:p w14:paraId="31D14C73">
            <w:pPr>
              <w:spacing w:line="360" w:lineRule="auto"/>
              <w:jc w:val="center"/>
              <w:rPr>
                <w:rFonts w:hint="eastAsia" w:ascii="宋体" w:hAnsi="宋体" w:cs="宋体"/>
                <w:szCs w:val="21"/>
              </w:rPr>
            </w:pPr>
            <w:r>
              <w:rPr>
                <w:rFonts w:hint="eastAsia" w:ascii="宋体" w:hAnsi="宋体" w:cs="宋体"/>
                <w:szCs w:val="21"/>
              </w:rPr>
              <w:t>紧急供货</w:t>
            </w:r>
          </w:p>
        </w:tc>
        <w:tc>
          <w:tcPr>
            <w:tcW w:w="5201" w:type="dxa"/>
            <w:vAlign w:val="center"/>
          </w:tcPr>
          <w:p w14:paraId="456EB537">
            <w:pPr>
              <w:spacing w:line="360" w:lineRule="auto"/>
              <w:jc w:val="left"/>
              <w:rPr>
                <w:rFonts w:hint="eastAsia" w:ascii="宋体" w:hAnsi="宋体" w:cs="宋体"/>
                <w:szCs w:val="21"/>
              </w:rPr>
            </w:pPr>
            <w:r>
              <w:rPr>
                <w:rFonts w:hint="eastAsia" w:ascii="宋体" w:hAnsi="宋体" w:cs="宋体"/>
                <w:szCs w:val="21"/>
              </w:rPr>
              <w:t>节假日或紧急采购等特殊时期，乙方保证甲方货源充足和供货及时稳定等，可酌情适当加分，如无则为0分</w:t>
            </w:r>
          </w:p>
        </w:tc>
        <w:tc>
          <w:tcPr>
            <w:tcW w:w="639" w:type="dxa"/>
            <w:vAlign w:val="center"/>
          </w:tcPr>
          <w:p w14:paraId="432AC5DD">
            <w:pPr>
              <w:spacing w:line="360" w:lineRule="auto"/>
              <w:jc w:val="center"/>
              <w:rPr>
                <w:rFonts w:hint="eastAsia" w:ascii="宋体" w:hAnsi="宋体" w:cs="宋体"/>
                <w:szCs w:val="21"/>
              </w:rPr>
            </w:pPr>
            <w:r>
              <w:rPr>
                <w:rFonts w:hint="eastAsia" w:ascii="宋体" w:hAnsi="宋体" w:cs="宋体"/>
                <w:szCs w:val="21"/>
              </w:rPr>
              <w:t>4</w:t>
            </w:r>
          </w:p>
        </w:tc>
        <w:tc>
          <w:tcPr>
            <w:tcW w:w="665" w:type="dxa"/>
            <w:vAlign w:val="center"/>
          </w:tcPr>
          <w:p w14:paraId="5AF582AE">
            <w:pPr>
              <w:spacing w:line="360" w:lineRule="auto"/>
              <w:jc w:val="center"/>
              <w:rPr>
                <w:rFonts w:hint="eastAsia" w:ascii="宋体" w:hAnsi="宋体" w:cs="宋体"/>
                <w:szCs w:val="21"/>
              </w:rPr>
            </w:pPr>
          </w:p>
        </w:tc>
        <w:tc>
          <w:tcPr>
            <w:tcW w:w="957" w:type="dxa"/>
            <w:vAlign w:val="center"/>
          </w:tcPr>
          <w:p w14:paraId="17A32D6C">
            <w:pPr>
              <w:spacing w:line="360" w:lineRule="auto"/>
              <w:jc w:val="center"/>
              <w:rPr>
                <w:rFonts w:hint="eastAsia" w:ascii="宋体" w:hAnsi="宋体" w:cs="宋体"/>
                <w:szCs w:val="21"/>
              </w:rPr>
            </w:pPr>
          </w:p>
        </w:tc>
      </w:tr>
      <w:tr w14:paraId="38CED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662" w:type="dxa"/>
            <w:vAlign w:val="center"/>
          </w:tcPr>
          <w:p w14:paraId="59D6F7C9">
            <w:pPr>
              <w:spacing w:line="360" w:lineRule="auto"/>
              <w:jc w:val="center"/>
              <w:rPr>
                <w:rFonts w:hint="eastAsia" w:ascii="宋体" w:hAnsi="宋体" w:cs="宋体"/>
                <w:szCs w:val="21"/>
              </w:rPr>
            </w:pPr>
          </w:p>
        </w:tc>
        <w:tc>
          <w:tcPr>
            <w:tcW w:w="701" w:type="dxa"/>
            <w:vMerge w:val="continue"/>
            <w:vAlign w:val="center"/>
          </w:tcPr>
          <w:p w14:paraId="26ECC817">
            <w:pPr>
              <w:widowControl/>
              <w:spacing w:line="360" w:lineRule="auto"/>
              <w:jc w:val="left"/>
              <w:rPr>
                <w:rFonts w:hint="eastAsia" w:ascii="宋体" w:hAnsi="宋体" w:cs="宋体"/>
                <w:szCs w:val="21"/>
              </w:rPr>
            </w:pPr>
          </w:p>
        </w:tc>
        <w:tc>
          <w:tcPr>
            <w:tcW w:w="757" w:type="dxa"/>
            <w:vAlign w:val="center"/>
          </w:tcPr>
          <w:p w14:paraId="64C4EDAC">
            <w:pPr>
              <w:spacing w:line="360" w:lineRule="auto"/>
              <w:jc w:val="center"/>
              <w:rPr>
                <w:rFonts w:hint="eastAsia" w:ascii="宋体" w:hAnsi="宋体" w:cs="宋体"/>
                <w:szCs w:val="21"/>
              </w:rPr>
            </w:pPr>
            <w:r>
              <w:rPr>
                <w:rFonts w:hint="eastAsia" w:ascii="宋体" w:hAnsi="宋体" w:cs="宋体"/>
                <w:szCs w:val="21"/>
              </w:rPr>
              <w:t>质量稳定</w:t>
            </w:r>
          </w:p>
        </w:tc>
        <w:tc>
          <w:tcPr>
            <w:tcW w:w="5201" w:type="dxa"/>
            <w:vAlign w:val="center"/>
          </w:tcPr>
          <w:p w14:paraId="71DEDF16">
            <w:pPr>
              <w:spacing w:line="360" w:lineRule="auto"/>
              <w:jc w:val="left"/>
              <w:rPr>
                <w:rFonts w:hint="eastAsia" w:ascii="宋体" w:hAnsi="宋体" w:cs="宋体"/>
                <w:szCs w:val="21"/>
              </w:rPr>
            </w:pPr>
            <w:r>
              <w:rPr>
                <w:rFonts w:hint="eastAsia" w:ascii="宋体" w:hAnsi="宋体" w:cs="宋体"/>
                <w:szCs w:val="21"/>
              </w:rPr>
              <w:t>乙方每次供货质量优于或满足甲方要求，连续一个月加2分，连续两个月加4分，连续三个月加6分。</w:t>
            </w:r>
          </w:p>
        </w:tc>
        <w:tc>
          <w:tcPr>
            <w:tcW w:w="639" w:type="dxa"/>
            <w:vAlign w:val="center"/>
          </w:tcPr>
          <w:p w14:paraId="0E2135A6">
            <w:pPr>
              <w:spacing w:line="360" w:lineRule="auto"/>
              <w:jc w:val="center"/>
              <w:rPr>
                <w:rFonts w:hint="eastAsia" w:ascii="宋体" w:hAnsi="宋体" w:cs="宋体"/>
                <w:szCs w:val="21"/>
              </w:rPr>
            </w:pPr>
            <w:r>
              <w:rPr>
                <w:rFonts w:hint="eastAsia" w:ascii="宋体" w:hAnsi="宋体" w:cs="宋体"/>
                <w:szCs w:val="21"/>
              </w:rPr>
              <w:t>6</w:t>
            </w:r>
          </w:p>
        </w:tc>
        <w:tc>
          <w:tcPr>
            <w:tcW w:w="665" w:type="dxa"/>
            <w:vAlign w:val="center"/>
          </w:tcPr>
          <w:p w14:paraId="2B13CF16">
            <w:pPr>
              <w:spacing w:line="360" w:lineRule="auto"/>
              <w:jc w:val="center"/>
              <w:rPr>
                <w:rFonts w:hint="eastAsia" w:ascii="宋体" w:hAnsi="宋体" w:cs="宋体"/>
                <w:szCs w:val="21"/>
              </w:rPr>
            </w:pPr>
          </w:p>
        </w:tc>
        <w:tc>
          <w:tcPr>
            <w:tcW w:w="957" w:type="dxa"/>
            <w:vAlign w:val="center"/>
          </w:tcPr>
          <w:p w14:paraId="31FC5828">
            <w:pPr>
              <w:spacing w:line="360" w:lineRule="auto"/>
              <w:jc w:val="center"/>
              <w:rPr>
                <w:rFonts w:hint="eastAsia" w:ascii="宋体" w:hAnsi="宋体" w:cs="宋体"/>
                <w:szCs w:val="21"/>
              </w:rPr>
            </w:pPr>
          </w:p>
        </w:tc>
      </w:tr>
      <w:tr w14:paraId="12D96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7321" w:type="dxa"/>
            <w:gridSpan w:val="4"/>
            <w:vAlign w:val="center"/>
          </w:tcPr>
          <w:p w14:paraId="71FCD418">
            <w:pPr>
              <w:spacing w:line="360" w:lineRule="auto"/>
              <w:jc w:val="center"/>
              <w:rPr>
                <w:rFonts w:hint="eastAsia" w:ascii="宋体" w:hAnsi="宋体" w:cs="宋体"/>
                <w:szCs w:val="21"/>
              </w:rPr>
            </w:pPr>
            <w:r>
              <w:rPr>
                <w:rFonts w:hint="eastAsia" w:ascii="宋体" w:hAnsi="宋体" w:cs="宋体"/>
                <w:szCs w:val="21"/>
              </w:rPr>
              <w:t>合计</w:t>
            </w:r>
          </w:p>
        </w:tc>
        <w:tc>
          <w:tcPr>
            <w:tcW w:w="639" w:type="dxa"/>
            <w:vAlign w:val="center"/>
          </w:tcPr>
          <w:p w14:paraId="0B618DF0">
            <w:pPr>
              <w:spacing w:line="360" w:lineRule="auto"/>
              <w:jc w:val="center"/>
              <w:rPr>
                <w:rFonts w:hint="eastAsia" w:ascii="宋体" w:hAnsi="宋体" w:cs="宋体"/>
                <w:szCs w:val="21"/>
              </w:rPr>
            </w:pPr>
            <w:r>
              <w:rPr>
                <w:rFonts w:hint="eastAsia" w:ascii="宋体" w:hAnsi="宋体" w:cs="宋体"/>
                <w:szCs w:val="21"/>
              </w:rPr>
              <w:t>110</w:t>
            </w:r>
          </w:p>
        </w:tc>
        <w:tc>
          <w:tcPr>
            <w:tcW w:w="665" w:type="dxa"/>
            <w:vAlign w:val="center"/>
          </w:tcPr>
          <w:p w14:paraId="388EF559">
            <w:pPr>
              <w:spacing w:line="360" w:lineRule="auto"/>
              <w:jc w:val="center"/>
              <w:rPr>
                <w:rFonts w:hint="eastAsia" w:ascii="宋体" w:hAnsi="宋体" w:cs="宋体"/>
                <w:szCs w:val="21"/>
              </w:rPr>
            </w:pPr>
          </w:p>
        </w:tc>
        <w:tc>
          <w:tcPr>
            <w:tcW w:w="957" w:type="dxa"/>
            <w:vAlign w:val="center"/>
          </w:tcPr>
          <w:p w14:paraId="5F6723E8">
            <w:pPr>
              <w:spacing w:line="360" w:lineRule="auto"/>
              <w:jc w:val="center"/>
              <w:rPr>
                <w:rFonts w:hint="eastAsia" w:ascii="宋体" w:hAnsi="宋体" w:cs="宋体"/>
                <w:szCs w:val="21"/>
              </w:rPr>
            </w:pPr>
          </w:p>
        </w:tc>
      </w:tr>
    </w:tbl>
    <w:p w14:paraId="3A4C6DC6">
      <w:pPr>
        <w:pStyle w:val="9"/>
        <w:spacing w:line="240" w:lineRule="auto"/>
        <w:ind w:left="0" w:leftChars="0" w:firstLine="0" w:firstLineChars="0"/>
        <w:jc w:val="left"/>
        <w:rPr>
          <w:rFonts w:cs="宋体"/>
          <w:szCs w:val="21"/>
        </w:rPr>
      </w:pPr>
      <w:r>
        <w:rPr>
          <w:rFonts w:hint="eastAsia" w:cs="宋体"/>
          <w:szCs w:val="21"/>
        </w:rPr>
        <w:t xml:space="preserve">采购人：经办人签字：                     </w:t>
      </w:r>
      <w:r>
        <w:rPr>
          <w:rFonts w:hint="eastAsia" w:cs="宋体"/>
          <w:szCs w:val="21"/>
          <w:lang w:eastAsia="zh-CN"/>
        </w:rPr>
        <w:t>成交人</w:t>
      </w:r>
      <w:r>
        <w:rPr>
          <w:rFonts w:hint="eastAsia" w:cs="宋体"/>
          <w:szCs w:val="21"/>
        </w:rPr>
        <w:t>： 经办人签字：</w:t>
      </w:r>
    </w:p>
    <w:p w14:paraId="211C1D92">
      <w:pPr>
        <w:pStyle w:val="9"/>
        <w:spacing w:line="240" w:lineRule="auto"/>
        <w:ind w:left="0" w:leftChars="0" w:firstLine="0" w:firstLineChars="0"/>
        <w:jc w:val="left"/>
        <w:rPr>
          <w:rFonts w:cs="宋体"/>
          <w:szCs w:val="21"/>
        </w:rPr>
      </w:pPr>
      <w:r>
        <w:rPr>
          <w:rFonts w:hint="eastAsia" w:cs="宋体"/>
          <w:szCs w:val="21"/>
        </w:rPr>
        <w:t>部门负责人签字：                         项目负责人签字：</w:t>
      </w:r>
    </w:p>
    <w:p w14:paraId="0134884E">
      <w:pPr>
        <w:pStyle w:val="9"/>
        <w:spacing w:line="240" w:lineRule="auto"/>
        <w:ind w:left="0" w:leftChars="0" w:firstLine="0" w:firstLineChars="0"/>
        <w:jc w:val="left"/>
        <w:rPr>
          <w:rFonts w:cs="宋体"/>
          <w:b/>
          <w:szCs w:val="21"/>
        </w:rPr>
      </w:pPr>
      <w:r>
        <w:rPr>
          <w:rFonts w:hint="eastAsia" w:cs="宋体"/>
          <w:szCs w:val="21"/>
        </w:rPr>
        <w:t xml:space="preserve">项目负责人签字：                         日期：                                               </w:t>
      </w:r>
      <w:r>
        <w:rPr>
          <w:rFonts w:hint="eastAsia" w:cs="宋体"/>
          <w:szCs w:val="21"/>
        </w:rPr>
        <w:br w:type="page"/>
      </w:r>
    </w:p>
    <w:p w14:paraId="575DBA34">
      <w:pPr>
        <w:pBdr>
          <w:bottom w:val="double" w:color="auto" w:sz="4" w:space="1"/>
        </w:pBdr>
        <w:spacing w:line="360" w:lineRule="auto"/>
        <w:jc w:val="center"/>
        <w:rPr>
          <w:rFonts w:hint="eastAsia" w:ascii="宋体" w:hAnsi="宋体" w:cs="宋体"/>
          <w:b/>
          <w:szCs w:val="21"/>
        </w:rPr>
      </w:pPr>
      <w:r>
        <w:rPr>
          <w:rFonts w:hint="eastAsia" w:ascii="宋体" w:hAnsi="宋体" w:cs="宋体"/>
          <w:b/>
          <w:szCs w:val="21"/>
        </w:rPr>
        <w:t>技术服务要求</w:t>
      </w:r>
    </w:p>
    <w:p w14:paraId="41BD3AA1">
      <w:pPr>
        <w:spacing w:line="360" w:lineRule="auto"/>
        <w:jc w:val="center"/>
        <w:rPr>
          <w:rFonts w:hint="eastAsia" w:ascii="宋体" w:hAnsi="宋体" w:cs="宋体"/>
          <w:b/>
          <w:szCs w:val="21"/>
        </w:rPr>
      </w:pPr>
    </w:p>
    <w:p w14:paraId="137EFA59">
      <w:pPr>
        <w:spacing w:line="360" w:lineRule="auto"/>
        <w:rPr>
          <w:rFonts w:hint="eastAsia" w:ascii="宋体" w:hAnsi="宋体" w:cs="宋体"/>
          <w:b/>
          <w:bCs/>
          <w:szCs w:val="21"/>
        </w:rPr>
      </w:pPr>
      <w:r>
        <w:rPr>
          <w:rFonts w:hint="eastAsia" w:ascii="宋体" w:hAnsi="宋体" w:cs="宋体"/>
          <w:b/>
          <w:bCs/>
          <w:szCs w:val="21"/>
        </w:rPr>
        <w:t>A包：氨水</w:t>
      </w:r>
    </w:p>
    <w:p w14:paraId="0956E33B">
      <w:pPr>
        <w:spacing w:line="360" w:lineRule="auto"/>
        <w:rPr>
          <w:rFonts w:hint="eastAsia" w:ascii="宋体" w:hAnsi="宋体" w:cs="宋体"/>
          <w:b/>
          <w:szCs w:val="21"/>
        </w:rPr>
      </w:pPr>
      <w:r>
        <w:rPr>
          <w:rFonts w:hint="eastAsia" w:ascii="宋体" w:hAnsi="宋体" w:cs="宋体"/>
          <w:b/>
          <w:szCs w:val="21"/>
        </w:rPr>
        <w:t>一、采购内容清单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9"/>
        <w:gridCol w:w="1179"/>
        <w:gridCol w:w="953"/>
        <w:gridCol w:w="1430"/>
        <w:gridCol w:w="1094"/>
        <w:gridCol w:w="2851"/>
      </w:tblGrid>
      <w:tr w14:paraId="05A65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jc w:val="center"/>
        </w:trPr>
        <w:tc>
          <w:tcPr>
            <w:tcW w:w="592" w:type="pct"/>
            <w:tcBorders>
              <w:top w:val="single" w:color="auto" w:sz="4" w:space="0"/>
              <w:left w:val="single" w:color="auto" w:sz="4" w:space="0"/>
              <w:bottom w:val="single" w:color="auto" w:sz="4" w:space="0"/>
              <w:right w:val="single" w:color="auto" w:sz="4" w:space="0"/>
            </w:tcBorders>
            <w:vAlign w:val="center"/>
          </w:tcPr>
          <w:p w14:paraId="6557F911">
            <w:pPr>
              <w:spacing w:line="360" w:lineRule="auto"/>
              <w:jc w:val="center"/>
              <w:rPr>
                <w:rFonts w:hint="eastAsia" w:ascii="宋体" w:hAnsi="宋体" w:cs="宋体"/>
                <w:b/>
                <w:bCs/>
                <w:szCs w:val="21"/>
              </w:rPr>
            </w:pPr>
            <w:bookmarkStart w:id="71" w:name="_Toc23911"/>
            <w:r>
              <w:rPr>
                <w:rFonts w:hint="eastAsia" w:ascii="宋体" w:hAnsi="宋体" w:cs="宋体"/>
                <w:b/>
                <w:bCs/>
                <w:szCs w:val="21"/>
              </w:rPr>
              <w:t>辅料名称</w:t>
            </w:r>
          </w:p>
        </w:tc>
        <w:tc>
          <w:tcPr>
            <w:tcW w:w="692" w:type="pct"/>
            <w:tcBorders>
              <w:top w:val="single" w:color="auto" w:sz="4" w:space="0"/>
              <w:left w:val="single" w:color="auto" w:sz="4" w:space="0"/>
              <w:bottom w:val="single" w:color="auto" w:sz="4" w:space="0"/>
              <w:right w:val="single" w:color="auto" w:sz="4" w:space="0"/>
            </w:tcBorders>
            <w:vAlign w:val="center"/>
          </w:tcPr>
          <w:p w14:paraId="7AFAE893">
            <w:pPr>
              <w:spacing w:line="360" w:lineRule="auto"/>
              <w:jc w:val="center"/>
              <w:rPr>
                <w:rFonts w:hint="eastAsia" w:ascii="宋体" w:hAnsi="宋体" w:cs="宋体"/>
                <w:b/>
                <w:bCs/>
                <w:szCs w:val="21"/>
              </w:rPr>
            </w:pPr>
            <w:r>
              <w:rPr>
                <w:rFonts w:hint="eastAsia" w:ascii="宋体" w:hAnsi="宋体" w:cs="宋体"/>
                <w:b/>
                <w:bCs/>
                <w:szCs w:val="21"/>
              </w:rPr>
              <w:t>计划采购供货量</w:t>
            </w:r>
          </w:p>
        </w:tc>
        <w:tc>
          <w:tcPr>
            <w:tcW w:w="559" w:type="pct"/>
            <w:tcBorders>
              <w:top w:val="single" w:color="auto" w:sz="4" w:space="0"/>
              <w:left w:val="single" w:color="auto" w:sz="4" w:space="0"/>
              <w:bottom w:val="single" w:color="auto" w:sz="4" w:space="0"/>
              <w:right w:val="single" w:color="auto" w:sz="4" w:space="0"/>
            </w:tcBorders>
            <w:vAlign w:val="center"/>
          </w:tcPr>
          <w:p w14:paraId="06B942B9">
            <w:pPr>
              <w:spacing w:line="360" w:lineRule="auto"/>
              <w:jc w:val="center"/>
              <w:rPr>
                <w:rFonts w:hint="eastAsia" w:ascii="宋体" w:hAnsi="宋体" w:cs="宋体"/>
                <w:b/>
                <w:bCs/>
                <w:szCs w:val="21"/>
              </w:rPr>
            </w:pPr>
            <w:r>
              <w:rPr>
                <w:rFonts w:hint="eastAsia" w:ascii="宋体" w:hAnsi="宋体" w:cs="宋体"/>
                <w:b/>
                <w:bCs/>
                <w:szCs w:val="21"/>
              </w:rPr>
              <w:t>计量单位</w:t>
            </w:r>
          </w:p>
        </w:tc>
        <w:tc>
          <w:tcPr>
            <w:tcW w:w="839" w:type="pct"/>
            <w:tcBorders>
              <w:top w:val="single" w:color="auto" w:sz="4" w:space="0"/>
              <w:left w:val="single" w:color="auto" w:sz="4" w:space="0"/>
              <w:bottom w:val="single" w:color="auto" w:sz="4" w:space="0"/>
              <w:right w:val="single" w:color="auto" w:sz="4" w:space="0"/>
            </w:tcBorders>
            <w:vAlign w:val="center"/>
          </w:tcPr>
          <w:p w14:paraId="0C41554E">
            <w:pPr>
              <w:spacing w:line="360" w:lineRule="auto"/>
              <w:jc w:val="center"/>
              <w:rPr>
                <w:rFonts w:hint="eastAsia" w:ascii="宋体" w:hAnsi="宋体" w:cs="宋体"/>
                <w:b/>
                <w:bCs/>
                <w:szCs w:val="21"/>
              </w:rPr>
            </w:pPr>
            <w:r>
              <w:rPr>
                <w:rFonts w:hint="eastAsia" w:ascii="宋体" w:hAnsi="宋体" w:cs="宋体"/>
                <w:b/>
                <w:bCs/>
                <w:szCs w:val="21"/>
              </w:rPr>
              <w:t>单价最高限价</w:t>
            </w:r>
          </w:p>
          <w:p w14:paraId="41723740">
            <w:pPr>
              <w:spacing w:line="360" w:lineRule="auto"/>
              <w:jc w:val="center"/>
              <w:rPr>
                <w:rFonts w:hint="eastAsia" w:ascii="宋体" w:hAnsi="宋体" w:cs="宋体"/>
                <w:b/>
                <w:bCs/>
                <w:szCs w:val="21"/>
              </w:rPr>
            </w:pPr>
            <w:r>
              <w:rPr>
                <w:rFonts w:hint="eastAsia" w:ascii="宋体" w:hAnsi="宋体" w:cs="宋体"/>
                <w:b/>
                <w:bCs/>
                <w:szCs w:val="21"/>
              </w:rPr>
              <w:t>（元/吨）</w:t>
            </w:r>
          </w:p>
        </w:tc>
        <w:tc>
          <w:tcPr>
            <w:tcW w:w="642" w:type="pct"/>
            <w:tcBorders>
              <w:top w:val="single" w:color="auto" w:sz="4" w:space="0"/>
              <w:left w:val="single" w:color="auto" w:sz="4" w:space="0"/>
              <w:bottom w:val="single" w:color="auto" w:sz="4" w:space="0"/>
              <w:right w:val="single" w:color="auto" w:sz="4" w:space="0"/>
            </w:tcBorders>
            <w:vAlign w:val="center"/>
          </w:tcPr>
          <w:p w14:paraId="55BE68A4">
            <w:pPr>
              <w:spacing w:line="360" w:lineRule="auto"/>
              <w:jc w:val="center"/>
              <w:rPr>
                <w:rFonts w:hint="eastAsia" w:ascii="宋体" w:hAnsi="宋体" w:cs="宋体"/>
                <w:b/>
                <w:bCs/>
                <w:szCs w:val="21"/>
              </w:rPr>
            </w:pPr>
            <w:r>
              <w:rPr>
                <w:rFonts w:hint="eastAsia" w:ascii="宋体" w:hAnsi="宋体" w:cs="宋体"/>
                <w:b/>
                <w:bCs/>
                <w:szCs w:val="21"/>
              </w:rPr>
              <w:t>用途</w:t>
            </w:r>
          </w:p>
        </w:tc>
        <w:tc>
          <w:tcPr>
            <w:tcW w:w="1673" w:type="pct"/>
            <w:tcBorders>
              <w:top w:val="single" w:color="auto" w:sz="4" w:space="0"/>
              <w:left w:val="single" w:color="auto" w:sz="4" w:space="0"/>
              <w:bottom w:val="single" w:color="auto" w:sz="4" w:space="0"/>
              <w:right w:val="single" w:color="auto" w:sz="4" w:space="0"/>
            </w:tcBorders>
            <w:vAlign w:val="center"/>
          </w:tcPr>
          <w:p w14:paraId="04C145FB">
            <w:pPr>
              <w:spacing w:line="360" w:lineRule="auto"/>
              <w:jc w:val="center"/>
              <w:rPr>
                <w:rFonts w:hint="eastAsia" w:ascii="宋体" w:hAnsi="宋体" w:cs="宋体"/>
                <w:b/>
                <w:bCs/>
                <w:szCs w:val="21"/>
              </w:rPr>
            </w:pPr>
            <w:r>
              <w:rPr>
                <w:rFonts w:hint="eastAsia" w:ascii="宋体" w:hAnsi="宋体" w:cs="宋体"/>
                <w:b/>
                <w:bCs/>
                <w:szCs w:val="21"/>
              </w:rPr>
              <w:t>送货</w:t>
            </w:r>
          </w:p>
        </w:tc>
      </w:tr>
      <w:tr w14:paraId="00050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592" w:type="pct"/>
            <w:tcBorders>
              <w:top w:val="single" w:color="auto" w:sz="4" w:space="0"/>
              <w:left w:val="single" w:color="auto" w:sz="4" w:space="0"/>
              <w:right w:val="single" w:color="auto" w:sz="4" w:space="0"/>
            </w:tcBorders>
            <w:vAlign w:val="center"/>
          </w:tcPr>
          <w:p w14:paraId="5A95E6B9">
            <w:pPr>
              <w:spacing w:line="360" w:lineRule="auto"/>
              <w:jc w:val="center"/>
              <w:rPr>
                <w:rFonts w:hint="eastAsia" w:ascii="宋体" w:hAnsi="宋体" w:cs="宋体"/>
                <w:szCs w:val="21"/>
              </w:rPr>
            </w:pPr>
            <w:r>
              <w:rPr>
                <w:rFonts w:hint="eastAsia" w:ascii="宋体" w:hAnsi="宋体" w:cs="宋体"/>
                <w:szCs w:val="21"/>
              </w:rPr>
              <w:t>氨水</w:t>
            </w:r>
          </w:p>
        </w:tc>
        <w:tc>
          <w:tcPr>
            <w:tcW w:w="692" w:type="pct"/>
            <w:tcBorders>
              <w:top w:val="single" w:color="auto" w:sz="4" w:space="0"/>
              <w:left w:val="single" w:color="auto" w:sz="4" w:space="0"/>
              <w:right w:val="single" w:color="auto" w:sz="4" w:space="0"/>
            </w:tcBorders>
            <w:vAlign w:val="center"/>
          </w:tcPr>
          <w:p w14:paraId="43C11B80">
            <w:pPr>
              <w:spacing w:line="360" w:lineRule="auto"/>
              <w:jc w:val="center"/>
              <w:rPr>
                <w:rFonts w:hint="eastAsia" w:ascii="宋体" w:hAnsi="宋体" w:cs="宋体"/>
                <w:szCs w:val="21"/>
              </w:rPr>
            </w:pPr>
            <w:r>
              <w:rPr>
                <w:rFonts w:hint="eastAsia" w:ascii="宋体" w:hAnsi="宋体" w:cs="宋体"/>
                <w:szCs w:val="21"/>
              </w:rPr>
              <w:t>约</w:t>
            </w:r>
            <w:r>
              <w:rPr>
                <w:rFonts w:ascii="宋体" w:hAnsi="宋体" w:cs="宋体"/>
                <w:szCs w:val="21"/>
              </w:rPr>
              <w:t>18</w:t>
            </w:r>
            <w:r>
              <w:rPr>
                <w:rFonts w:hint="eastAsia" w:ascii="宋体" w:hAnsi="宋体" w:cs="宋体"/>
                <w:szCs w:val="21"/>
              </w:rPr>
              <w:t>00</w:t>
            </w:r>
          </w:p>
        </w:tc>
        <w:tc>
          <w:tcPr>
            <w:tcW w:w="559" w:type="pct"/>
            <w:tcBorders>
              <w:top w:val="single" w:color="auto" w:sz="4" w:space="0"/>
              <w:left w:val="single" w:color="auto" w:sz="4" w:space="0"/>
              <w:bottom w:val="single" w:color="auto" w:sz="4" w:space="0"/>
              <w:right w:val="single" w:color="auto" w:sz="4" w:space="0"/>
            </w:tcBorders>
            <w:vAlign w:val="center"/>
          </w:tcPr>
          <w:p w14:paraId="6248E499">
            <w:pPr>
              <w:spacing w:line="360" w:lineRule="auto"/>
              <w:jc w:val="center"/>
              <w:rPr>
                <w:rFonts w:hint="eastAsia" w:ascii="宋体" w:hAnsi="宋体" w:cs="宋体"/>
                <w:szCs w:val="21"/>
              </w:rPr>
            </w:pPr>
            <w:r>
              <w:rPr>
                <w:rFonts w:hint="eastAsia" w:ascii="宋体" w:hAnsi="宋体" w:cs="宋体"/>
                <w:szCs w:val="21"/>
              </w:rPr>
              <w:t>吨</w:t>
            </w:r>
          </w:p>
        </w:tc>
        <w:tc>
          <w:tcPr>
            <w:tcW w:w="839" w:type="pct"/>
            <w:tcBorders>
              <w:top w:val="single" w:color="auto" w:sz="4" w:space="0"/>
              <w:left w:val="single" w:color="auto" w:sz="4" w:space="0"/>
              <w:right w:val="single" w:color="auto" w:sz="4" w:space="0"/>
            </w:tcBorders>
            <w:vAlign w:val="center"/>
          </w:tcPr>
          <w:p w14:paraId="2176BF64">
            <w:pPr>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946</w:t>
            </w:r>
          </w:p>
        </w:tc>
        <w:tc>
          <w:tcPr>
            <w:tcW w:w="642" w:type="pct"/>
            <w:tcBorders>
              <w:top w:val="single" w:color="auto" w:sz="4" w:space="0"/>
              <w:left w:val="single" w:color="auto" w:sz="4" w:space="0"/>
              <w:right w:val="single" w:color="auto" w:sz="4" w:space="0"/>
            </w:tcBorders>
            <w:vAlign w:val="center"/>
          </w:tcPr>
          <w:p w14:paraId="639911D4">
            <w:pPr>
              <w:spacing w:line="360" w:lineRule="auto"/>
              <w:jc w:val="center"/>
              <w:rPr>
                <w:rFonts w:hint="eastAsia" w:ascii="宋体" w:hAnsi="宋体" w:cs="宋体"/>
                <w:szCs w:val="21"/>
              </w:rPr>
            </w:pPr>
            <w:r>
              <w:rPr>
                <w:rFonts w:hint="eastAsia" w:ascii="宋体" w:hAnsi="宋体" w:cs="宋体"/>
                <w:szCs w:val="21"/>
              </w:rPr>
              <w:t>烟气脱硝使用</w:t>
            </w:r>
          </w:p>
        </w:tc>
        <w:tc>
          <w:tcPr>
            <w:tcW w:w="1673" w:type="pct"/>
            <w:tcBorders>
              <w:top w:val="single" w:color="auto" w:sz="4" w:space="0"/>
              <w:left w:val="single" w:color="auto" w:sz="4" w:space="0"/>
              <w:right w:val="single" w:color="auto" w:sz="4" w:space="0"/>
            </w:tcBorders>
            <w:vAlign w:val="center"/>
          </w:tcPr>
          <w:p w14:paraId="024DDC31">
            <w:pPr>
              <w:spacing w:line="360" w:lineRule="auto"/>
              <w:jc w:val="center"/>
              <w:rPr>
                <w:rFonts w:hint="eastAsia" w:ascii="宋体" w:hAnsi="宋体" w:cs="宋体"/>
                <w:szCs w:val="21"/>
              </w:rPr>
            </w:pPr>
            <w:r>
              <w:rPr>
                <w:rFonts w:hint="eastAsia" w:ascii="宋体" w:hAnsi="宋体" w:cs="宋体"/>
                <w:szCs w:val="21"/>
              </w:rPr>
              <w:t>现场配置2个50m</w:t>
            </w:r>
            <w:r>
              <w:rPr>
                <w:rFonts w:hint="eastAsia" w:ascii="宋体" w:hAnsi="宋体" w:cs="宋体"/>
                <w:szCs w:val="21"/>
                <w:vertAlign w:val="superscript"/>
              </w:rPr>
              <w:t>3</w:t>
            </w:r>
            <w:r>
              <w:rPr>
                <w:rFonts w:hint="eastAsia" w:ascii="宋体" w:hAnsi="宋体" w:cs="宋体"/>
                <w:szCs w:val="21"/>
              </w:rPr>
              <w:t>储罐按现场需求分批送货</w:t>
            </w:r>
          </w:p>
        </w:tc>
      </w:tr>
    </w:tbl>
    <w:p w14:paraId="5BC576FD">
      <w:pPr>
        <w:spacing w:line="360" w:lineRule="auto"/>
        <w:ind w:firstLine="420" w:firstLineChars="200"/>
        <w:rPr>
          <w:rFonts w:hint="eastAsia" w:ascii="宋体" w:hAnsi="宋体"/>
          <w:szCs w:val="21"/>
        </w:rPr>
      </w:pPr>
      <w:r>
        <w:rPr>
          <w:rFonts w:hint="eastAsia" w:ascii="宋体" w:hAnsi="宋体"/>
          <w:szCs w:val="21"/>
        </w:rPr>
        <w:t>备注：</w:t>
      </w:r>
    </w:p>
    <w:p w14:paraId="4172B214">
      <w:pPr>
        <w:spacing w:line="360" w:lineRule="auto"/>
        <w:ind w:firstLine="420" w:firstLineChars="200"/>
        <w:rPr>
          <w:rFonts w:hint="eastAsia" w:ascii="宋体" w:hAnsi="宋体"/>
          <w:szCs w:val="21"/>
        </w:rPr>
      </w:pPr>
      <w:r>
        <w:rPr>
          <w:rFonts w:hint="eastAsia" w:ascii="宋体" w:hAnsi="宋体"/>
          <w:szCs w:val="21"/>
        </w:rPr>
        <w:t>1、年度计划采购总量只是参考数量，实际按采购期限供应。</w:t>
      </w:r>
    </w:p>
    <w:p w14:paraId="68268114">
      <w:pPr>
        <w:spacing w:line="360" w:lineRule="auto"/>
        <w:ind w:firstLine="420" w:firstLineChars="200"/>
        <w:rPr>
          <w:rFonts w:hint="eastAsia" w:ascii="宋体" w:hAnsi="宋体"/>
          <w:szCs w:val="21"/>
        </w:rPr>
      </w:pPr>
      <w:r>
        <w:rPr>
          <w:rFonts w:hint="eastAsia" w:ascii="宋体" w:hAnsi="宋体"/>
          <w:szCs w:val="21"/>
        </w:rPr>
        <w:t>2、合同有效期内，原材料市场价格涨跌幅度超过10%的（原材料价格以卓创网（http：//www.sci99.com/）的原材料巴陵石化99.6-99.9%液氨月平均价格为参考依据），双方均可提出调价申请，调整后价格，在下月执行。</w:t>
      </w:r>
    </w:p>
    <w:p w14:paraId="2832D7F9">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成交人</w:t>
      </w:r>
      <w:r>
        <w:rPr>
          <w:rFonts w:hint="eastAsia" w:ascii="宋体" w:hAnsi="宋体"/>
          <w:szCs w:val="21"/>
        </w:rPr>
        <w:t>需调价时，必须提前30天以书面的形式通知采购人，征得采购人同意后方可生效；当满足价格下调条件时，采购人书面通知</w:t>
      </w:r>
      <w:r>
        <w:rPr>
          <w:rFonts w:hint="eastAsia" w:ascii="宋体" w:hAnsi="宋体"/>
          <w:szCs w:val="21"/>
          <w:lang w:eastAsia="zh-CN"/>
        </w:rPr>
        <w:t>成交人</w:t>
      </w:r>
      <w:r>
        <w:rPr>
          <w:rFonts w:hint="eastAsia" w:ascii="宋体" w:hAnsi="宋体"/>
          <w:szCs w:val="21"/>
        </w:rPr>
        <w:t>调价后生效，在下月执行。</w:t>
      </w:r>
    </w:p>
    <w:p w14:paraId="41944106">
      <w:pPr>
        <w:spacing w:line="360" w:lineRule="auto"/>
        <w:ind w:firstLine="420" w:firstLineChars="200"/>
        <w:rPr>
          <w:rFonts w:hint="eastAsia" w:ascii="宋体" w:hAnsi="宋体"/>
          <w:szCs w:val="21"/>
        </w:rPr>
      </w:pPr>
      <w:r>
        <w:rPr>
          <w:rFonts w:hint="eastAsia" w:ascii="宋体" w:hAnsi="宋体"/>
          <w:szCs w:val="21"/>
        </w:rPr>
        <w:t>4、变动价格的计算方式：基准价±巴陵石化99.6-99.9%液氨当月平均价格×20%×巴陵石化99.6-99.9%液氨当月平均价格波动比例。（基准价为中标价）</w:t>
      </w:r>
    </w:p>
    <w:p w14:paraId="6F8F6DA6">
      <w:pPr>
        <w:spacing w:line="360" w:lineRule="auto"/>
        <w:ind w:firstLine="420" w:firstLineChars="200"/>
        <w:rPr>
          <w:rFonts w:hint="eastAsia" w:ascii="宋体" w:hAnsi="宋体" w:cs="宋体"/>
          <w:b/>
          <w:szCs w:val="21"/>
        </w:rPr>
      </w:pPr>
      <w:r>
        <w:rPr>
          <w:rFonts w:hint="eastAsia" w:ascii="宋体" w:hAnsi="宋体"/>
          <w:szCs w:val="21"/>
        </w:rPr>
        <w:t>5、巴陵石化99.6-99.9%液氨当月平均价格波动比例=（当月平均价-基准月平均价）/基准月平均价×100%（注：本次合同以卓创网上巴陵石化99.6-99.9%液氨</w:t>
      </w:r>
      <w:r>
        <w:rPr>
          <w:rFonts w:hint="eastAsia" w:ascii="宋体" w:hAnsi="宋体"/>
          <w:szCs w:val="21"/>
          <w:highlight w:val="yellow"/>
        </w:rPr>
        <w:t>2025年12月</w:t>
      </w:r>
      <w:r>
        <w:rPr>
          <w:rFonts w:hint="eastAsia" w:ascii="宋体" w:hAnsi="宋体"/>
          <w:szCs w:val="21"/>
        </w:rPr>
        <w:t>平均价格为月基准平均价，当月平均价为卓创网上巴陵石化99.6-99.9%液氨的当月均价）。</w:t>
      </w:r>
    </w:p>
    <w:p w14:paraId="6C6E7DC7">
      <w:pPr>
        <w:spacing w:line="360" w:lineRule="auto"/>
        <w:rPr>
          <w:rFonts w:hint="eastAsia" w:ascii="宋体" w:hAnsi="宋体" w:cs="宋体"/>
          <w:b/>
          <w:szCs w:val="21"/>
        </w:rPr>
      </w:pPr>
      <w:r>
        <w:rPr>
          <w:rFonts w:hint="eastAsia" w:ascii="宋体" w:hAnsi="宋体" w:cs="宋体"/>
          <w:b/>
          <w:szCs w:val="21"/>
        </w:rPr>
        <w:t>二、技术标准</w:t>
      </w:r>
      <w:bookmarkEnd w:id="71"/>
    </w:p>
    <w:tbl>
      <w:tblPr>
        <w:tblStyle w:val="16"/>
        <w:tblW w:w="508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0"/>
        <w:gridCol w:w="4524"/>
      </w:tblGrid>
      <w:tr w14:paraId="3D69E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9" w:type="pct"/>
            <w:vAlign w:val="center"/>
          </w:tcPr>
          <w:p w14:paraId="65DC1A86">
            <w:pPr>
              <w:spacing w:line="360" w:lineRule="auto"/>
              <w:jc w:val="center"/>
              <w:rPr>
                <w:rFonts w:hint="eastAsia" w:ascii="宋体" w:hAnsi="宋体" w:cs="宋体"/>
                <w:b/>
                <w:bCs/>
                <w:szCs w:val="21"/>
              </w:rPr>
            </w:pPr>
            <w:r>
              <w:rPr>
                <w:rFonts w:hint="eastAsia" w:ascii="宋体" w:hAnsi="宋体" w:cs="宋体"/>
                <w:b/>
                <w:bCs/>
                <w:szCs w:val="21"/>
              </w:rPr>
              <w:t>指标名称</w:t>
            </w:r>
          </w:p>
        </w:tc>
        <w:tc>
          <w:tcPr>
            <w:tcW w:w="2611" w:type="pct"/>
            <w:vAlign w:val="center"/>
          </w:tcPr>
          <w:p w14:paraId="47F281C9">
            <w:pPr>
              <w:spacing w:line="360" w:lineRule="auto"/>
              <w:jc w:val="center"/>
              <w:rPr>
                <w:rFonts w:hint="eastAsia" w:ascii="宋体" w:hAnsi="宋体" w:cs="宋体"/>
                <w:b/>
                <w:bCs/>
                <w:szCs w:val="21"/>
              </w:rPr>
            </w:pPr>
            <w:r>
              <w:rPr>
                <w:rFonts w:hint="eastAsia" w:ascii="宋体" w:hAnsi="宋体" w:cs="宋体"/>
                <w:b/>
                <w:bCs/>
                <w:szCs w:val="21"/>
              </w:rPr>
              <w:t>指标值</w:t>
            </w:r>
          </w:p>
        </w:tc>
      </w:tr>
      <w:tr w14:paraId="2C20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389" w:type="pct"/>
            <w:vAlign w:val="center"/>
          </w:tcPr>
          <w:p w14:paraId="22BF2DC2">
            <w:pPr>
              <w:spacing w:line="360" w:lineRule="auto"/>
              <w:jc w:val="center"/>
              <w:rPr>
                <w:rFonts w:hint="eastAsia" w:ascii="宋体" w:hAnsi="宋体" w:cs="宋体"/>
                <w:szCs w:val="21"/>
              </w:rPr>
            </w:pPr>
            <w:r>
              <w:rPr>
                <w:rFonts w:hint="eastAsia" w:ascii="宋体" w:hAnsi="宋体" w:cs="宋体"/>
                <w:szCs w:val="21"/>
              </w:rPr>
              <w:t>外观</w:t>
            </w:r>
          </w:p>
        </w:tc>
        <w:tc>
          <w:tcPr>
            <w:tcW w:w="2611" w:type="pct"/>
            <w:vAlign w:val="center"/>
          </w:tcPr>
          <w:p w14:paraId="1B4B203B">
            <w:pPr>
              <w:spacing w:line="360" w:lineRule="auto"/>
              <w:jc w:val="center"/>
              <w:rPr>
                <w:rFonts w:hint="eastAsia" w:ascii="宋体" w:hAnsi="宋体" w:cs="宋体"/>
                <w:szCs w:val="21"/>
              </w:rPr>
            </w:pPr>
            <w:r>
              <w:rPr>
                <w:rFonts w:hint="eastAsia" w:ascii="宋体" w:hAnsi="宋体" w:cs="宋体"/>
                <w:szCs w:val="21"/>
              </w:rPr>
              <w:t>无色透明</w:t>
            </w:r>
          </w:p>
        </w:tc>
      </w:tr>
      <w:tr w14:paraId="4B4B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9" w:type="pct"/>
            <w:vAlign w:val="center"/>
          </w:tcPr>
          <w:p w14:paraId="68630697">
            <w:pPr>
              <w:spacing w:line="360" w:lineRule="auto"/>
              <w:jc w:val="center"/>
              <w:rPr>
                <w:rFonts w:hint="eastAsia" w:ascii="宋体" w:hAnsi="宋体" w:cs="宋体"/>
                <w:szCs w:val="21"/>
              </w:rPr>
            </w:pPr>
            <w:r>
              <w:rPr>
                <w:rFonts w:hint="eastAsia" w:ascii="宋体" w:hAnsi="宋体" w:cs="宋体"/>
                <w:szCs w:val="21"/>
              </w:rPr>
              <w:t>色度</w:t>
            </w:r>
          </w:p>
        </w:tc>
        <w:tc>
          <w:tcPr>
            <w:tcW w:w="2611" w:type="pct"/>
            <w:vAlign w:val="center"/>
          </w:tcPr>
          <w:p w14:paraId="3A00C9D0">
            <w:pPr>
              <w:spacing w:line="360" w:lineRule="auto"/>
              <w:jc w:val="center"/>
              <w:rPr>
                <w:rFonts w:hint="eastAsia" w:ascii="宋体" w:hAnsi="宋体" w:cs="宋体"/>
                <w:szCs w:val="21"/>
              </w:rPr>
            </w:pPr>
            <w:r>
              <w:rPr>
                <w:rFonts w:hint="eastAsia" w:ascii="宋体" w:hAnsi="宋体" w:cs="宋体"/>
                <w:szCs w:val="21"/>
              </w:rPr>
              <w:t>≤80</w:t>
            </w:r>
          </w:p>
        </w:tc>
      </w:tr>
      <w:tr w14:paraId="4FB1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389" w:type="pct"/>
            <w:vAlign w:val="center"/>
          </w:tcPr>
          <w:p w14:paraId="19453E4F">
            <w:pPr>
              <w:spacing w:line="360" w:lineRule="auto"/>
              <w:jc w:val="center"/>
              <w:rPr>
                <w:rFonts w:hint="eastAsia" w:ascii="宋体" w:hAnsi="宋体" w:cs="宋体"/>
                <w:szCs w:val="21"/>
              </w:rPr>
            </w:pPr>
            <w:r>
              <w:rPr>
                <w:rFonts w:hint="eastAsia" w:ascii="宋体" w:hAnsi="宋体" w:cs="宋体"/>
                <w:szCs w:val="21"/>
              </w:rPr>
              <w:t>NH3质量百分含量</w:t>
            </w:r>
          </w:p>
        </w:tc>
        <w:tc>
          <w:tcPr>
            <w:tcW w:w="2611" w:type="pct"/>
            <w:vAlign w:val="center"/>
          </w:tcPr>
          <w:p w14:paraId="107410B4">
            <w:pPr>
              <w:spacing w:line="360" w:lineRule="auto"/>
              <w:jc w:val="center"/>
              <w:rPr>
                <w:rFonts w:hint="eastAsia" w:ascii="宋体" w:hAnsi="宋体" w:cs="宋体"/>
                <w:szCs w:val="21"/>
              </w:rPr>
            </w:pPr>
            <w:r>
              <w:rPr>
                <w:rFonts w:hint="eastAsia" w:ascii="宋体" w:hAnsi="宋体" w:cs="宋体"/>
                <w:szCs w:val="21"/>
              </w:rPr>
              <w:t>≥20%</w:t>
            </w:r>
          </w:p>
        </w:tc>
      </w:tr>
      <w:tr w14:paraId="441D82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389" w:type="pct"/>
            <w:vAlign w:val="center"/>
          </w:tcPr>
          <w:p w14:paraId="67665E70">
            <w:pPr>
              <w:spacing w:line="360" w:lineRule="auto"/>
              <w:jc w:val="center"/>
              <w:rPr>
                <w:rFonts w:hint="eastAsia" w:ascii="宋体" w:hAnsi="宋体" w:cs="宋体"/>
                <w:szCs w:val="21"/>
              </w:rPr>
            </w:pPr>
            <w:r>
              <w:rPr>
                <w:rFonts w:hint="eastAsia" w:ascii="宋体" w:hAnsi="宋体" w:cs="宋体"/>
                <w:szCs w:val="21"/>
              </w:rPr>
              <w:t>残渣含量</w:t>
            </w:r>
          </w:p>
        </w:tc>
        <w:tc>
          <w:tcPr>
            <w:tcW w:w="2611" w:type="pct"/>
            <w:vAlign w:val="center"/>
          </w:tcPr>
          <w:p w14:paraId="5D41E5E6">
            <w:pPr>
              <w:spacing w:line="360" w:lineRule="auto"/>
              <w:jc w:val="center"/>
              <w:rPr>
                <w:rFonts w:hint="eastAsia" w:ascii="宋体" w:hAnsi="宋体" w:cs="宋体"/>
                <w:szCs w:val="21"/>
              </w:rPr>
            </w:pPr>
            <w:r>
              <w:rPr>
                <w:rFonts w:hint="eastAsia" w:ascii="宋体" w:hAnsi="宋体" w:cs="宋体"/>
                <w:szCs w:val="21"/>
              </w:rPr>
              <w:t>≤0.3g/l</w:t>
            </w:r>
          </w:p>
        </w:tc>
      </w:tr>
      <w:tr w14:paraId="5D611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2389" w:type="pct"/>
            <w:vAlign w:val="center"/>
          </w:tcPr>
          <w:p w14:paraId="3B11CF03">
            <w:pPr>
              <w:spacing w:line="360" w:lineRule="auto"/>
              <w:jc w:val="center"/>
              <w:rPr>
                <w:rFonts w:hint="eastAsia" w:ascii="宋体" w:hAnsi="宋体" w:cs="宋体"/>
                <w:szCs w:val="21"/>
              </w:rPr>
            </w:pPr>
            <w:r>
              <w:rPr>
                <w:rFonts w:hint="eastAsia" w:ascii="宋体" w:hAnsi="宋体" w:cs="宋体"/>
                <w:szCs w:val="21"/>
              </w:rPr>
              <w:t>硬度</w:t>
            </w:r>
          </w:p>
        </w:tc>
        <w:tc>
          <w:tcPr>
            <w:tcW w:w="2611" w:type="pct"/>
            <w:vAlign w:val="center"/>
          </w:tcPr>
          <w:p w14:paraId="353F6DB9">
            <w:pPr>
              <w:spacing w:line="360" w:lineRule="auto"/>
              <w:jc w:val="center"/>
              <w:rPr>
                <w:rFonts w:hint="eastAsia" w:ascii="宋体" w:hAnsi="宋体" w:cs="宋体"/>
                <w:szCs w:val="21"/>
              </w:rPr>
            </w:pPr>
            <w:r>
              <w:rPr>
                <w:rFonts w:hint="eastAsia" w:ascii="宋体" w:hAnsi="宋体" w:cs="宋体"/>
                <w:szCs w:val="21"/>
              </w:rPr>
              <w:t>≤5mmol/L</w:t>
            </w:r>
          </w:p>
        </w:tc>
      </w:tr>
    </w:tbl>
    <w:p w14:paraId="71DE314F">
      <w:pPr>
        <w:spacing w:before="156" w:beforeLines="50" w:line="360" w:lineRule="auto"/>
        <w:rPr>
          <w:rFonts w:hint="eastAsia" w:ascii="宋体" w:hAnsi="宋体" w:cs="宋体"/>
          <w:b/>
          <w:szCs w:val="21"/>
        </w:rPr>
      </w:pPr>
      <w:bookmarkStart w:id="72" w:name="_Toc10432"/>
      <w:r>
        <w:rPr>
          <w:rFonts w:hint="eastAsia" w:ascii="宋体" w:hAnsi="宋体" w:cs="宋体"/>
          <w:b/>
          <w:szCs w:val="21"/>
        </w:rPr>
        <w:t>三、</w:t>
      </w:r>
      <w:r>
        <w:rPr>
          <w:rFonts w:hint="eastAsia" w:ascii="宋体" w:hAnsi="宋体" w:cs="宋体"/>
          <w:b/>
          <w:bCs/>
          <w:szCs w:val="21"/>
        </w:rPr>
        <w:t>包装、运输方式</w:t>
      </w:r>
      <w:r>
        <w:rPr>
          <w:rFonts w:hint="eastAsia" w:ascii="宋体" w:hAnsi="宋体" w:cs="宋体"/>
          <w:b/>
          <w:szCs w:val="21"/>
        </w:rPr>
        <w:t>及费用承担</w:t>
      </w:r>
      <w:bookmarkEnd w:id="72"/>
    </w:p>
    <w:p w14:paraId="741689F9">
      <w:pPr>
        <w:tabs>
          <w:tab w:val="left" w:pos="0"/>
          <w:tab w:val="left" w:pos="709"/>
        </w:tabs>
        <w:spacing w:line="360" w:lineRule="auto"/>
        <w:ind w:firstLine="422" w:firstLineChars="201"/>
        <w:rPr>
          <w:rFonts w:hint="eastAsia" w:ascii="宋体" w:hAnsi="宋体" w:cs="宋体"/>
          <w:szCs w:val="21"/>
        </w:rPr>
      </w:pPr>
      <w:r>
        <w:rPr>
          <w:rFonts w:hint="eastAsia" w:ascii="宋体" w:hAnsi="宋体" w:cs="宋体"/>
          <w:szCs w:val="21"/>
        </w:rPr>
        <w:t>1、货物的包装：化学品的包装必须满足国家标准</w:t>
      </w:r>
      <w:r>
        <w:rPr>
          <w:rFonts w:hint="eastAsia" w:ascii="宋体" w:hAnsi="宋体" w:cs="宋体"/>
          <w:bCs/>
          <w:szCs w:val="21"/>
        </w:rPr>
        <w:t>《化学试剂 包装及标志》</w:t>
      </w:r>
      <w:r>
        <w:rPr>
          <w:rFonts w:ascii="宋体" w:hAnsi="宋体" w:cs="宋体"/>
          <w:bCs/>
          <w:szCs w:val="21"/>
        </w:rPr>
        <w:t>GB 15346-2012</w:t>
      </w:r>
      <w:r>
        <w:rPr>
          <w:rFonts w:hint="eastAsia" w:ascii="宋体" w:hAnsi="宋体" w:cs="宋体"/>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1FB8136A">
      <w:pPr>
        <w:tabs>
          <w:tab w:val="left" w:pos="0"/>
          <w:tab w:val="left" w:pos="709"/>
        </w:tabs>
        <w:spacing w:line="360" w:lineRule="auto"/>
        <w:ind w:firstLine="422" w:firstLineChars="201"/>
        <w:rPr>
          <w:rFonts w:hint="eastAsia" w:ascii="宋体" w:hAnsi="宋体" w:cs="宋体"/>
          <w:szCs w:val="21"/>
        </w:rPr>
      </w:pPr>
      <w:r>
        <w:rPr>
          <w:rFonts w:hint="eastAsia" w:ascii="宋体" w:hAnsi="宋体" w:cs="宋体"/>
          <w:szCs w:val="21"/>
        </w:rPr>
        <w:t>2、</w:t>
      </w:r>
      <w:r>
        <w:rPr>
          <w:rFonts w:hint="eastAsia" w:ascii="宋体" w:hAnsi="宋体" w:cs="宋体"/>
          <w:szCs w:val="21"/>
          <w:lang w:eastAsia="zh-CN"/>
        </w:rPr>
        <w:t>成交人</w:t>
      </w:r>
      <w:r>
        <w:rPr>
          <w:rFonts w:hint="eastAsia" w:ascii="宋体" w:hAnsi="宋体" w:cs="宋体"/>
          <w:szCs w:val="21"/>
        </w:rPr>
        <w:t>应根据货物的特点，用符合规格密封良好的槽罐车送至采购人厂区指定的地点，槽罐必须注意防泄漏，车身干净整洁,注意环境保护。槽罐车实际容量可根据采购人实际送货需求调整。按最新交通运输法，载货后整车总质量必须＜49吨。以上由</w:t>
      </w:r>
      <w:r>
        <w:rPr>
          <w:rFonts w:hint="eastAsia" w:ascii="宋体" w:hAnsi="宋体" w:cs="宋体"/>
          <w:szCs w:val="21"/>
          <w:lang w:eastAsia="zh-CN"/>
        </w:rPr>
        <w:t>成交人</w:t>
      </w:r>
      <w:r>
        <w:rPr>
          <w:rFonts w:hint="eastAsia" w:ascii="宋体" w:hAnsi="宋体" w:cs="宋体"/>
          <w:szCs w:val="21"/>
        </w:rPr>
        <w:t>承担运输及装卸等费用，自行卸货。</w:t>
      </w:r>
    </w:p>
    <w:p w14:paraId="73CD8A05">
      <w:pPr>
        <w:tabs>
          <w:tab w:val="left" w:pos="0"/>
          <w:tab w:val="left" w:pos="709"/>
        </w:tabs>
        <w:spacing w:line="360" w:lineRule="auto"/>
        <w:ind w:firstLine="422" w:firstLineChars="201"/>
        <w:rPr>
          <w:rFonts w:hint="eastAsia" w:ascii="宋体" w:hAnsi="宋体" w:cs="宋体"/>
          <w:szCs w:val="21"/>
        </w:rPr>
      </w:pPr>
      <w:r>
        <w:rPr>
          <w:rFonts w:hint="eastAsia" w:ascii="宋体" w:hAnsi="宋体" w:cs="宋体"/>
          <w:szCs w:val="21"/>
        </w:rPr>
        <w:t>3、</w:t>
      </w:r>
      <w:r>
        <w:rPr>
          <w:rFonts w:hint="eastAsia" w:ascii="宋体" w:hAnsi="宋体" w:cs="宋体"/>
          <w:szCs w:val="21"/>
          <w:lang w:eastAsia="zh-CN"/>
        </w:rPr>
        <w:t>成交人</w:t>
      </w:r>
      <w:r>
        <w:rPr>
          <w:rFonts w:hint="eastAsia" w:ascii="宋体" w:hAnsi="宋体" w:cs="宋体"/>
          <w:szCs w:val="21"/>
        </w:rPr>
        <w:t>负责将每车次货物运抵采购人指定的厂区地点，货到后</w:t>
      </w:r>
      <w:r>
        <w:rPr>
          <w:rFonts w:hint="eastAsia" w:ascii="宋体" w:hAnsi="宋体" w:cs="宋体"/>
          <w:szCs w:val="21"/>
          <w:lang w:eastAsia="zh-CN"/>
        </w:rPr>
        <w:t>成交人</w:t>
      </w:r>
      <w:r>
        <w:rPr>
          <w:rFonts w:hint="eastAsia" w:ascii="宋体" w:hAnsi="宋体" w:cs="宋体"/>
          <w:szCs w:val="21"/>
        </w:rPr>
        <w:t>需到采购人地磅过磅，并提供该车次产品的签字盖章的出厂化验报告及送货单，过磅后货到采购人指定地点，在采购人完成取样后，方可卸货。卸货后</w:t>
      </w:r>
      <w:r>
        <w:rPr>
          <w:rFonts w:hint="eastAsia" w:ascii="宋体" w:hAnsi="宋体" w:cs="宋体"/>
          <w:szCs w:val="21"/>
          <w:lang w:eastAsia="zh-CN"/>
        </w:rPr>
        <w:t>成交人</w:t>
      </w:r>
      <w:r>
        <w:rPr>
          <w:rFonts w:hint="eastAsia" w:ascii="宋体" w:hAnsi="宋体" w:cs="宋体"/>
          <w:szCs w:val="21"/>
        </w:rPr>
        <w:t>必须再次到采购人地磅过空磅，签字确认并拿取过磅单后，方可离厂。项目指定两人进行收货验收。</w:t>
      </w:r>
    </w:p>
    <w:p w14:paraId="2F34CAB8">
      <w:pPr>
        <w:spacing w:line="360" w:lineRule="auto"/>
        <w:rPr>
          <w:rFonts w:hint="eastAsia" w:ascii="宋体" w:hAnsi="宋体" w:cs="宋体"/>
          <w:b/>
          <w:bCs/>
          <w:szCs w:val="21"/>
        </w:rPr>
      </w:pPr>
      <w:bookmarkStart w:id="73" w:name="_Toc32528"/>
      <w:r>
        <w:rPr>
          <w:rFonts w:hint="eastAsia" w:ascii="宋体" w:hAnsi="宋体" w:cs="宋体"/>
          <w:b/>
          <w:bCs/>
          <w:szCs w:val="21"/>
        </w:rPr>
        <w:t>四、检验标准</w:t>
      </w:r>
      <w:bookmarkEnd w:id="73"/>
    </w:p>
    <w:p w14:paraId="1751B3B6">
      <w:pPr>
        <w:pStyle w:val="7"/>
        <w:spacing w:line="360" w:lineRule="auto"/>
        <w:ind w:firstLine="420" w:firstLineChars="200"/>
        <w:rPr>
          <w:rFonts w:hint="eastAsia" w:ascii="宋体" w:hAnsi="宋体"/>
          <w:szCs w:val="21"/>
        </w:rPr>
      </w:pPr>
      <w:r>
        <w:rPr>
          <w:rFonts w:hint="eastAsia" w:ascii="宋体" w:hAnsi="宋体"/>
          <w:szCs w:val="21"/>
        </w:rPr>
        <w:t>标准：GB/T 631-2007  化学试剂 氨水</w:t>
      </w:r>
    </w:p>
    <w:p w14:paraId="34680FCE">
      <w:pPr>
        <w:pStyle w:val="7"/>
        <w:spacing w:line="360" w:lineRule="auto"/>
        <w:ind w:firstLine="420" w:firstLineChars="200"/>
        <w:rPr>
          <w:rFonts w:hint="eastAsia" w:ascii="宋体" w:hAnsi="宋体"/>
          <w:szCs w:val="21"/>
        </w:rPr>
      </w:pPr>
      <w:r>
        <w:rPr>
          <w:rFonts w:hint="eastAsia" w:ascii="宋体" w:hAnsi="宋体"/>
          <w:szCs w:val="21"/>
        </w:rPr>
        <w:t>第三方检测项目如下：</w:t>
      </w:r>
    </w:p>
    <w:tbl>
      <w:tblPr>
        <w:tblStyle w:val="16"/>
        <w:tblW w:w="5013" w:type="pct"/>
        <w:tblInd w:w="35" w:type="dxa"/>
        <w:tblLayout w:type="autofit"/>
        <w:tblCellMar>
          <w:top w:w="0" w:type="dxa"/>
          <w:left w:w="30" w:type="dxa"/>
          <w:bottom w:w="0" w:type="dxa"/>
          <w:right w:w="30" w:type="dxa"/>
        </w:tblCellMar>
      </w:tblPr>
      <w:tblGrid>
        <w:gridCol w:w="4216"/>
        <w:gridCol w:w="1533"/>
        <w:gridCol w:w="2633"/>
      </w:tblGrid>
      <w:tr w14:paraId="1F2B3406">
        <w:tblPrEx>
          <w:tblCellMar>
            <w:top w:w="0" w:type="dxa"/>
            <w:left w:w="30" w:type="dxa"/>
            <w:bottom w:w="0" w:type="dxa"/>
            <w:right w:w="30" w:type="dxa"/>
          </w:tblCellMar>
        </w:tblPrEx>
        <w:trPr>
          <w:trHeight w:val="548" w:hRule="atLeast"/>
        </w:trPr>
        <w:tc>
          <w:tcPr>
            <w:tcW w:w="0" w:type="auto"/>
            <w:gridSpan w:val="3"/>
            <w:tcBorders>
              <w:top w:val="single" w:color="000000" w:sz="4" w:space="0"/>
              <w:left w:val="single" w:color="000000" w:sz="4" w:space="0"/>
              <w:bottom w:val="single" w:color="000000" w:sz="4" w:space="0"/>
              <w:right w:val="single" w:color="000000" w:sz="4" w:space="0"/>
            </w:tcBorders>
            <w:vAlign w:val="center"/>
          </w:tcPr>
          <w:p w14:paraId="17331EA4">
            <w:pPr>
              <w:spacing w:line="360" w:lineRule="auto"/>
              <w:jc w:val="center"/>
              <w:rPr>
                <w:rFonts w:hint="eastAsia" w:ascii="宋体" w:hAnsi="宋体" w:cs="宋体"/>
                <w:szCs w:val="21"/>
              </w:rPr>
            </w:pPr>
            <w:r>
              <w:rPr>
                <w:rFonts w:hint="eastAsia" w:ascii="宋体" w:hAnsi="宋体" w:cs="宋体"/>
                <w:b/>
                <w:bCs/>
                <w:szCs w:val="21"/>
              </w:rPr>
              <w:t>氨水需求参数</w:t>
            </w:r>
          </w:p>
        </w:tc>
      </w:tr>
      <w:tr w14:paraId="52E2F671">
        <w:tblPrEx>
          <w:tblCellMar>
            <w:top w:w="0" w:type="dxa"/>
            <w:left w:w="30" w:type="dxa"/>
            <w:bottom w:w="0" w:type="dxa"/>
            <w:right w:w="30" w:type="dxa"/>
          </w:tblCellMar>
        </w:tblPrEx>
        <w:trPr>
          <w:trHeight w:val="359" w:hRule="atLeast"/>
        </w:trPr>
        <w:tc>
          <w:tcPr>
            <w:tcW w:w="0" w:type="auto"/>
            <w:tcBorders>
              <w:top w:val="single" w:color="000000" w:sz="4" w:space="0"/>
              <w:left w:val="single" w:color="000000" w:sz="6" w:space="0"/>
              <w:bottom w:val="single" w:color="000000" w:sz="6" w:space="0"/>
              <w:right w:val="single" w:color="000000" w:sz="6" w:space="0"/>
            </w:tcBorders>
            <w:vAlign w:val="center"/>
          </w:tcPr>
          <w:p w14:paraId="577797BB">
            <w:pPr>
              <w:spacing w:line="360" w:lineRule="auto"/>
              <w:jc w:val="center"/>
              <w:rPr>
                <w:rFonts w:hint="eastAsia" w:ascii="宋体" w:hAnsi="宋体" w:cs="宋体"/>
                <w:b/>
                <w:bCs/>
                <w:szCs w:val="21"/>
              </w:rPr>
            </w:pPr>
            <w:r>
              <w:rPr>
                <w:rFonts w:hint="eastAsia" w:ascii="宋体" w:hAnsi="宋体" w:cs="宋体"/>
                <w:b/>
                <w:bCs/>
                <w:szCs w:val="21"/>
              </w:rPr>
              <w:t>名称</w:t>
            </w:r>
          </w:p>
        </w:tc>
        <w:tc>
          <w:tcPr>
            <w:tcW w:w="0" w:type="auto"/>
            <w:tcBorders>
              <w:top w:val="single" w:color="000000" w:sz="4" w:space="0"/>
              <w:left w:val="nil"/>
              <w:bottom w:val="single" w:color="000000" w:sz="6" w:space="0"/>
              <w:right w:val="single" w:color="000000" w:sz="6" w:space="0"/>
            </w:tcBorders>
            <w:vAlign w:val="center"/>
          </w:tcPr>
          <w:p w14:paraId="2204BAB3">
            <w:pPr>
              <w:spacing w:line="360" w:lineRule="auto"/>
              <w:jc w:val="center"/>
              <w:rPr>
                <w:rFonts w:hint="eastAsia" w:ascii="宋体" w:hAnsi="宋体" w:cs="宋体"/>
                <w:b/>
                <w:bCs/>
                <w:szCs w:val="21"/>
              </w:rPr>
            </w:pPr>
            <w:r>
              <w:rPr>
                <w:rFonts w:hint="eastAsia" w:ascii="宋体" w:hAnsi="宋体" w:cs="宋体"/>
                <w:b/>
                <w:bCs/>
                <w:szCs w:val="21"/>
              </w:rPr>
              <w:t>单位</w:t>
            </w:r>
          </w:p>
        </w:tc>
        <w:tc>
          <w:tcPr>
            <w:tcW w:w="0" w:type="auto"/>
            <w:tcBorders>
              <w:top w:val="single" w:color="000000" w:sz="4" w:space="0"/>
              <w:left w:val="nil"/>
              <w:bottom w:val="single" w:color="000000" w:sz="6" w:space="0"/>
              <w:right w:val="single" w:color="000000" w:sz="6" w:space="0"/>
            </w:tcBorders>
            <w:vAlign w:val="center"/>
          </w:tcPr>
          <w:p w14:paraId="2A7B2FBC">
            <w:pPr>
              <w:spacing w:line="360" w:lineRule="auto"/>
              <w:jc w:val="center"/>
              <w:rPr>
                <w:rFonts w:hint="eastAsia" w:ascii="宋体" w:hAnsi="宋体" w:cs="宋体"/>
                <w:b/>
                <w:bCs/>
                <w:szCs w:val="21"/>
              </w:rPr>
            </w:pPr>
            <w:r>
              <w:rPr>
                <w:rFonts w:hint="eastAsia" w:ascii="宋体" w:hAnsi="宋体" w:cs="宋体"/>
                <w:b/>
                <w:bCs/>
                <w:szCs w:val="21"/>
              </w:rPr>
              <w:t>数值</w:t>
            </w:r>
          </w:p>
        </w:tc>
      </w:tr>
      <w:tr w14:paraId="2BD3656E">
        <w:tblPrEx>
          <w:tblCellMar>
            <w:top w:w="0" w:type="dxa"/>
            <w:left w:w="30" w:type="dxa"/>
            <w:bottom w:w="0" w:type="dxa"/>
            <w:right w:w="30" w:type="dxa"/>
          </w:tblCellMar>
        </w:tblPrEx>
        <w:trPr>
          <w:trHeight w:val="35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68154143">
            <w:pPr>
              <w:spacing w:line="360" w:lineRule="auto"/>
              <w:jc w:val="center"/>
              <w:rPr>
                <w:rFonts w:hint="eastAsia" w:ascii="宋体" w:hAnsi="宋体" w:cs="宋体"/>
                <w:szCs w:val="21"/>
              </w:rPr>
            </w:pPr>
            <w:r>
              <w:rPr>
                <w:rFonts w:hint="eastAsia" w:ascii="宋体" w:hAnsi="宋体" w:cs="宋体"/>
                <w:szCs w:val="21"/>
              </w:rPr>
              <w:t>NH</w:t>
            </w:r>
            <w:r>
              <w:rPr>
                <w:rFonts w:hint="eastAsia" w:ascii="宋体" w:hAnsi="宋体" w:cs="宋体"/>
                <w:szCs w:val="21"/>
                <w:vertAlign w:val="subscript"/>
              </w:rPr>
              <w:t>3</w:t>
            </w:r>
            <w:r>
              <w:rPr>
                <w:rFonts w:hint="eastAsia" w:ascii="宋体" w:hAnsi="宋体" w:cs="宋体"/>
                <w:szCs w:val="21"/>
              </w:rPr>
              <w:t>质量百分含量</w:t>
            </w:r>
          </w:p>
        </w:tc>
        <w:tc>
          <w:tcPr>
            <w:tcW w:w="0" w:type="auto"/>
            <w:tcBorders>
              <w:top w:val="single" w:color="000000" w:sz="6" w:space="0"/>
              <w:left w:val="nil"/>
              <w:bottom w:val="single" w:color="000000" w:sz="6" w:space="0"/>
              <w:right w:val="single" w:color="000000" w:sz="6" w:space="0"/>
            </w:tcBorders>
            <w:vAlign w:val="center"/>
          </w:tcPr>
          <w:p w14:paraId="12759CFB">
            <w:pPr>
              <w:spacing w:line="360" w:lineRule="auto"/>
              <w:jc w:val="center"/>
              <w:rPr>
                <w:rFonts w:hint="eastAsia" w:ascii="宋体" w:hAnsi="宋体" w:cs="宋体"/>
                <w:szCs w:val="21"/>
              </w:rPr>
            </w:pPr>
            <w:r>
              <w:rPr>
                <w:rFonts w:hint="eastAsia" w:ascii="宋体" w:hAnsi="宋体" w:cs="宋体"/>
                <w:szCs w:val="21"/>
              </w:rPr>
              <w:t>%</w:t>
            </w:r>
          </w:p>
        </w:tc>
        <w:tc>
          <w:tcPr>
            <w:tcW w:w="0" w:type="auto"/>
            <w:tcBorders>
              <w:top w:val="single" w:color="000000" w:sz="6" w:space="0"/>
              <w:left w:val="nil"/>
              <w:bottom w:val="single" w:color="000000" w:sz="6" w:space="0"/>
              <w:right w:val="single" w:color="000000" w:sz="6" w:space="0"/>
            </w:tcBorders>
            <w:vAlign w:val="center"/>
          </w:tcPr>
          <w:p w14:paraId="45140367">
            <w:pPr>
              <w:spacing w:line="360" w:lineRule="auto"/>
              <w:jc w:val="center"/>
              <w:rPr>
                <w:rFonts w:hint="eastAsia" w:ascii="宋体" w:hAnsi="宋体" w:cs="宋体"/>
                <w:szCs w:val="21"/>
              </w:rPr>
            </w:pPr>
            <w:r>
              <w:rPr>
                <w:rFonts w:hint="eastAsia" w:ascii="宋体" w:hAnsi="宋体" w:cs="宋体"/>
                <w:szCs w:val="21"/>
              </w:rPr>
              <w:t>≥20%</w:t>
            </w:r>
          </w:p>
        </w:tc>
      </w:tr>
      <w:tr w14:paraId="163A7F0B">
        <w:tblPrEx>
          <w:tblCellMar>
            <w:top w:w="0" w:type="dxa"/>
            <w:left w:w="30" w:type="dxa"/>
            <w:bottom w:w="0" w:type="dxa"/>
            <w:right w:w="30" w:type="dxa"/>
          </w:tblCellMar>
        </w:tblPrEx>
        <w:trPr>
          <w:trHeight w:val="35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67E6ECB9">
            <w:pPr>
              <w:spacing w:line="360" w:lineRule="auto"/>
              <w:jc w:val="center"/>
              <w:rPr>
                <w:rFonts w:hint="eastAsia" w:ascii="宋体" w:hAnsi="宋体" w:cs="宋体"/>
                <w:szCs w:val="21"/>
              </w:rPr>
            </w:pPr>
            <w:r>
              <w:rPr>
                <w:rFonts w:hint="eastAsia" w:ascii="宋体" w:hAnsi="宋体" w:cs="宋体"/>
                <w:szCs w:val="21"/>
              </w:rPr>
              <w:t>残渣含量</w:t>
            </w:r>
          </w:p>
        </w:tc>
        <w:tc>
          <w:tcPr>
            <w:tcW w:w="0" w:type="auto"/>
            <w:tcBorders>
              <w:top w:val="single" w:color="000000" w:sz="6" w:space="0"/>
              <w:left w:val="nil"/>
              <w:bottom w:val="single" w:color="000000" w:sz="6" w:space="0"/>
              <w:right w:val="single" w:color="000000" w:sz="6" w:space="0"/>
            </w:tcBorders>
            <w:vAlign w:val="center"/>
          </w:tcPr>
          <w:p w14:paraId="21146527">
            <w:pPr>
              <w:spacing w:line="360" w:lineRule="auto"/>
              <w:jc w:val="center"/>
              <w:rPr>
                <w:rFonts w:hint="eastAsia" w:ascii="宋体" w:hAnsi="宋体" w:cs="宋体"/>
                <w:szCs w:val="21"/>
              </w:rPr>
            </w:pPr>
            <w:r>
              <w:rPr>
                <w:rFonts w:hint="eastAsia" w:ascii="宋体" w:hAnsi="宋体" w:cs="宋体"/>
                <w:szCs w:val="21"/>
              </w:rPr>
              <w:t>g/l</w:t>
            </w:r>
          </w:p>
        </w:tc>
        <w:tc>
          <w:tcPr>
            <w:tcW w:w="0" w:type="auto"/>
            <w:tcBorders>
              <w:top w:val="single" w:color="000000" w:sz="6" w:space="0"/>
              <w:left w:val="nil"/>
              <w:bottom w:val="single" w:color="000000" w:sz="6" w:space="0"/>
              <w:right w:val="single" w:color="000000" w:sz="6" w:space="0"/>
            </w:tcBorders>
            <w:vAlign w:val="center"/>
          </w:tcPr>
          <w:p w14:paraId="26794AE2">
            <w:pPr>
              <w:spacing w:line="360" w:lineRule="auto"/>
              <w:jc w:val="center"/>
              <w:rPr>
                <w:rFonts w:hint="eastAsia" w:ascii="宋体" w:hAnsi="宋体" w:cs="宋体"/>
                <w:szCs w:val="21"/>
              </w:rPr>
            </w:pPr>
            <w:r>
              <w:rPr>
                <w:rFonts w:hint="eastAsia" w:ascii="宋体" w:hAnsi="宋体" w:cs="宋体"/>
                <w:szCs w:val="21"/>
              </w:rPr>
              <w:t>≤0.3g/l</w:t>
            </w:r>
          </w:p>
        </w:tc>
      </w:tr>
      <w:tr w14:paraId="5D2DEE0E">
        <w:tblPrEx>
          <w:tblCellMar>
            <w:top w:w="0" w:type="dxa"/>
            <w:left w:w="30" w:type="dxa"/>
            <w:bottom w:w="0" w:type="dxa"/>
            <w:right w:w="30" w:type="dxa"/>
          </w:tblCellMar>
        </w:tblPrEx>
        <w:trPr>
          <w:trHeight w:val="359" w:hRule="atLeast"/>
        </w:trPr>
        <w:tc>
          <w:tcPr>
            <w:tcW w:w="0" w:type="auto"/>
            <w:tcBorders>
              <w:top w:val="single" w:color="000000" w:sz="6" w:space="0"/>
              <w:left w:val="single" w:color="000000" w:sz="6" w:space="0"/>
              <w:bottom w:val="single" w:color="000000" w:sz="6" w:space="0"/>
              <w:right w:val="single" w:color="000000" w:sz="6" w:space="0"/>
            </w:tcBorders>
            <w:vAlign w:val="center"/>
          </w:tcPr>
          <w:p w14:paraId="5D2892A6">
            <w:pPr>
              <w:spacing w:line="360" w:lineRule="auto"/>
              <w:jc w:val="center"/>
              <w:rPr>
                <w:rFonts w:hint="eastAsia" w:ascii="宋体" w:hAnsi="宋体" w:cs="宋体"/>
                <w:szCs w:val="21"/>
              </w:rPr>
            </w:pPr>
            <w:r>
              <w:rPr>
                <w:rFonts w:hint="eastAsia" w:ascii="宋体" w:hAnsi="宋体" w:cs="宋体"/>
                <w:szCs w:val="21"/>
              </w:rPr>
              <w:t>硬度</w:t>
            </w:r>
          </w:p>
        </w:tc>
        <w:tc>
          <w:tcPr>
            <w:tcW w:w="0" w:type="auto"/>
            <w:tcBorders>
              <w:top w:val="single" w:color="000000" w:sz="6" w:space="0"/>
              <w:left w:val="nil"/>
              <w:bottom w:val="single" w:color="000000" w:sz="6" w:space="0"/>
              <w:right w:val="single" w:color="000000" w:sz="6" w:space="0"/>
            </w:tcBorders>
            <w:vAlign w:val="center"/>
          </w:tcPr>
          <w:p w14:paraId="788ED958">
            <w:pPr>
              <w:spacing w:line="360" w:lineRule="auto"/>
              <w:jc w:val="center"/>
              <w:rPr>
                <w:rFonts w:hint="eastAsia" w:ascii="宋体" w:hAnsi="宋体" w:cs="宋体"/>
                <w:szCs w:val="21"/>
              </w:rPr>
            </w:pPr>
            <w:r>
              <w:rPr>
                <w:rFonts w:hint="eastAsia" w:ascii="宋体" w:hAnsi="宋体" w:cs="宋体"/>
                <w:szCs w:val="21"/>
              </w:rPr>
              <w:t>mol/L</w:t>
            </w:r>
          </w:p>
        </w:tc>
        <w:tc>
          <w:tcPr>
            <w:tcW w:w="0" w:type="auto"/>
            <w:tcBorders>
              <w:top w:val="single" w:color="000000" w:sz="6" w:space="0"/>
              <w:left w:val="nil"/>
              <w:bottom w:val="single" w:color="000000" w:sz="6" w:space="0"/>
              <w:right w:val="single" w:color="000000" w:sz="6" w:space="0"/>
            </w:tcBorders>
            <w:vAlign w:val="center"/>
          </w:tcPr>
          <w:p w14:paraId="1B350C84">
            <w:pPr>
              <w:spacing w:line="360" w:lineRule="auto"/>
              <w:jc w:val="center"/>
              <w:rPr>
                <w:rFonts w:hint="eastAsia" w:ascii="宋体" w:hAnsi="宋体" w:cs="宋体"/>
                <w:szCs w:val="21"/>
              </w:rPr>
            </w:pPr>
            <w:r>
              <w:rPr>
                <w:rFonts w:hint="eastAsia" w:ascii="宋体" w:hAnsi="宋体" w:cs="宋体"/>
                <w:szCs w:val="21"/>
              </w:rPr>
              <w:t>≤5mmol/L</w:t>
            </w:r>
          </w:p>
        </w:tc>
      </w:tr>
    </w:tbl>
    <w:p w14:paraId="46128194">
      <w:pPr>
        <w:spacing w:line="360" w:lineRule="auto"/>
        <w:ind w:firstLine="420" w:firstLineChars="200"/>
        <w:rPr>
          <w:rFonts w:hint="eastAsia" w:ascii="宋体" w:hAnsi="宋体" w:cs="宋体"/>
          <w:szCs w:val="21"/>
        </w:rPr>
      </w:pPr>
    </w:p>
    <w:p w14:paraId="4F01D338">
      <w:pPr>
        <w:spacing w:line="360" w:lineRule="auto"/>
        <w:rPr>
          <w:rFonts w:hint="eastAsia" w:ascii="宋体" w:hAnsi="宋体" w:cs="宋体"/>
          <w:b/>
          <w:szCs w:val="21"/>
        </w:rPr>
      </w:pPr>
      <w:bookmarkStart w:id="74" w:name="_Toc17371"/>
      <w:r>
        <w:rPr>
          <w:rFonts w:hint="eastAsia" w:ascii="宋体" w:hAnsi="宋体" w:cs="宋体"/>
          <w:b/>
          <w:szCs w:val="21"/>
        </w:rPr>
        <w:t>五、验收及质量要求</w:t>
      </w:r>
      <w:bookmarkEnd w:id="74"/>
    </w:p>
    <w:p w14:paraId="1410FDFD">
      <w:pPr>
        <w:pStyle w:val="7"/>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成交人</w:t>
      </w:r>
      <w:r>
        <w:rPr>
          <w:rFonts w:hint="eastAsia" w:ascii="宋体" w:hAnsi="宋体"/>
          <w:szCs w:val="21"/>
        </w:rPr>
        <w:t>在送货时，必须提供每一批货物的产品有效成分的检验报告、合格证明等相关质量证明文件及送货单，要求必须签字盖章。否则，禁止过磅。</w:t>
      </w:r>
    </w:p>
    <w:p w14:paraId="6AEC82F0">
      <w:pPr>
        <w:pStyle w:val="7"/>
        <w:spacing w:line="360" w:lineRule="auto"/>
        <w:ind w:firstLine="420" w:firstLineChars="200"/>
        <w:rPr>
          <w:rFonts w:hint="eastAsia" w:ascii="宋体" w:hAnsi="宋体"/>
          <w:szCs w:val="21"/>
        </w:rPr>
      </w:pPr>
      <w:r>
        <w:rPr>
          <w:rFonts w:hint="eastAsia" w:ascii="宋体" w:hAnsi="宋体"/>
          <w:szCs w:val="21"/>
        </w:rPr>
        <w:t>2、车次过磅后</w:t>
      </w:r>
      <w:r>
        <w:rPr>
          <w:rFonts w:hint="eastAsia" w:ascii="宋体" w:hAnsi="宋体"/>
          <w:szCs w:val="21"/>
          <w:lang w:eastAsia="zh-CN"/>
        </w:rPr>
        <w:t>成交人</w:t>
      </w:r>
      <w:r>
        <w:rPr>
          <w:rFonts w:hint="eastAsia" w:ascii="宋体" w:hAnsi="宋体"/>
          <w:szCs w:val="21"/>
        </w:rPr>
        <w:t>送达产品到采购人指定地点进行抽样取样，每次取样时，供需双方应当共同见证取样，且取样单须经供需双方共同签字签章确认（</w:t>
      </w:r>
      <w:r>
        <w:rPr>
          <w:rFonts w:hint="eastAsia" w:ascii="宋体" w:hAnsi="宋体"/>
          <w:szCs w:val="21"/>
          <w:lang w:eastAsia="zh-CN"/>
        </w:rPr>
        <w:t>成交人</w:t>
      </w:r>
      <w:r>
        <w:rPr>
          <w:rFonts w:hint="eastAsia" w:ascii="宋体" w:hAnsi="宋体"/>
          <w:szCs w:val="21"/>
        </w:rPr>
        <w:t>拒绝派人参加取样或者拒绝签字盖章确认的，不影响采购人取样的效力）。采购人完成取样并且实验室检测合格后，由</w:t>
      </w:r>
      <w:r>
        <w:rPr>
          <w:rFonts w:hint="eastAsia" w:ascii="宋体" w:hAnsi="宋体"/>
          <w:szCs w:val="21"/>
          <w:lang w:eastAsia="zh-CN"/>
        </w:rPr>
        <w:t>成交人</w:t>
      </w:r>
      <w:r>
        <w:rPr>
          <w:rFonts w:hint="eastAsia" w:ascii="宋体" w:hAnsi="宋体"/>
          <w:szCs w:val="21"/>
        </w:rPr>
        <w:t>负责卸货至采购人指定地点，卸货费用已经包含在合同价款中。卸货后</w:t>
      </w:r>
      <w:r>
        <w:rPr>
          <w:rFonts w:hint="eastAsia" w:ascii="宋体" w:hAnsi="宋体"/>
          <w:szCs w:val="21"/>
          <w:lang w:eastAsia="zh-CN"/>
        </w:rPr>
        <w:t>成交人</w:t>
      </w:r>
      <w:r>
        <w:rPr>
          <w:rFonts w:hint="eastAsia" w:ascii="宋体" w:hAnsi="宋体"/>
          <w:szCs w:val="21"/>
        </w:rPr>
        <w:t>必须再次到采购人地磅过空磅，签字确认并拿取过磅单后，方可离厂。如退货，</w:t>
      </w:r>
      <w:r>
        <w:rPr>
          <w:rFonts w:hint="eastAsia" w:ascii="宋体" w:hAnsi="宋体"/>
          <w:szCs w:val="21"/>
          <w:lang w:eastAsia="zh-CN"/>
        </w:rPr>
        <w:t>成交人</w:t>
      </w:r>
      <w:r>
        <w:rPr>
          <w:rFonts w:hint="eastAsia" w:ascii="宋体" w:hAnsi="宋体"/>
          <w:szCs w:val="21"/>
        </w:rPr>
        <w:t>必须在10小时内将第二车送货到厂。</w:t>
      </w:r>
    </w:p>
    <w:p w14:paraId="0E681B97">
      <w:pPr>
        <w:pStyle w:val="7"/>
        <w:spacing w:line="360" w:lineRule="auto"/>
        <w:ind w:firstLine="420" w:firstLineChars="200"/>
        <w:rPr>
          <w:rFonts w:hint="eastAsia" w:ascii="宋体" w:hAnsi="宋体"/>
          <w:szCs w:val="21"/>
        </w:rPr>
      </w:pPr>
      <w:r>
        <w:rPr>
          <w:rFonts w:hint="eastAsia" w:ascii="宋体" w:hAnsi="宋体"/>
          <w:szCs w:val="21"/>
        </w:rPr>
        <w:t>3、双方代表在验收中不能取得一致意见时，可提请双方认可的国家权威检验部门进行检验，其出具的检验证书是具有法律效力的最终检验结果，对双方都有约束力，检验费由责任方负担。</w:t>
      </w:r>
    </w:p>
    <w:p w14:paraId="4AF720A2">
      <w:pPr>
        <w:pStyle w:val="7"/>
        <w:spacing w:line="360" w:lineRule="auto"/>
        <w:ind w:firstLine="420" w:firstLineChars="200"/>
        <w:rPr>
          <w:rFonts w:hint="eastAsia" w:ascii="宋体" w:hAnsi="宋体"/>
          <w:szCs w:val="21"/>
        </w:rPr>
      </w:pPr>
      <w:r>
        <w:rPr>
          <w:rFonts w:hint="eastAsia" w:ascii="宋体" w:hAnsi="宋体"/>
          <w:szCs w:val="21"/>
        </w:rPr>
        <w:t>4、不予收货：</w:t>
      </w:r>
      <w:r>
        <w:rPr>
          <w:rFonts w:hint="eastAsia" w:ascii="宋体" w:hAnsi="宋体"/>
          <w:szCs w:val="21"/>
          <w:lang w:eastAsia="zh-CN"/>
        </w:rPr>
        <w:t>成交人</w:t>
      </w:r>
      <w:r>
        <w:rPr>
          <w:rFonts w:hint="eastAsia" w:ascii="宋体" w:hAnsi="宋体"/>
          <w:szCs w:val="21"/>
        </w:rPr>
        <w:t>货物经采购人分析检测室检验确认且确认为本车次产品不合格。</w:t>
      </w:r>
    </w:p>
    <w:p w14:paraId="05ABCA36">
      <w:pPr>
        <w:pStyle w:val="7"/>
        <w:spacing w:line="360" w:lineRule="auto"/>
        <w:ind w:firstLine="420" w:firstLineChars="200"/>
        <w:rPr>
          <w:rFonts w:hint="eastAsia" w:ascii="宋体" w:hAnsi="宋体"/>
          <w:szCs w:val="21"/>
        </w:rPr>
      </w:pPr>
      <w:r>
        <w:rPr>
          <w:rFonts w:hint="eastAsia" w:ascii="宋体" w:hAnsi="宋体"/>
          <w:szCs w:val="21"/>
        </w:rPr>
        <w:t>5、若采购人在运行生产使用过程中，</w:t>
      </w:r>
      <w:r>
        <w:rPr>
          <w:rFonts w:hint="eastAsia" w:ascii="宋体" w:hAnsi="宋体"/>
          <w:szCs w:val="21"/>
          <w:lang w:eastAsia="zh-CN"/>
        </w:rPr>
        <w:t>成交人</w:t>
      </w:r>
      <w:r>
        <w:rPr>
          <w:rFonts w:hint="eastAsia" w:ascii="宋体" w:hAnsi="宋体"/>
          <w:szCs w:val="21"/>
        </w:rPr>
        <w:t>的产品被采购人上级主管部门检查质量不合格，并对采购人进行做出相关处罚，由此所产生的责任及采购人损失全由</w:t>
      </w:r>
      <w:r>
        <w:rPr>
          <w:rFonts w:hint="eastAsia" w:ascii="宋体" w:hAnsi="宋体"/>
          <w:szCs w:val="21"/>
          <w:lang w:eastAsia="zh-CN"/>
        </w:rPr>
        <w:t>成交人</w:t>
      </w:r>
      <w:r>
        <w:rPr>
          <w:rFonts w:hint="eastAsia" w:ascii="宋体" w:hAnsi="宋体"/>
          <w:szCs w:val="21"/>
        </w:rPr>
        <w:t>承担。</w:t>
      </w:r>
    </w:p>
    <w:p w14:paraId="2432C7EE">
      <w:pPr>
        <w:pStyle w:val="7"/>
        <w:spacing w:line="360" w:lineRule="auto"/>
        <w:rPr>
          <w:rFonts w:hint="eastAsia" w:ascii="宋体" w:hAnsi="宋体" w:cs="宋体"/>
          <w:b/>
          <w:szCs w:val="21"/>
        </w:rPr>
      </w:pPr>
      <w:r>
        <w:rPr>
          <w:rFonts w:ascii="宋体" w:hAnsi="宋体" w:cs="宋体"/>
          <w:b/>
          <w:bCs/>
          <w:szCs w:val="21"/>
        </w:rPr>
        <w:br w:type="page"/>
      </w:r>
      <w:r>
        <w:rPr>
          <w:rFonts w:ascii="宋体" w:hAnsi="宋体" w:cs="宋体"/>
          <w:b/>
          <w:bCs/>
          <w:szCs w:val="21"/>
        </w:rPr>
        <w:t>B</w:t>
      </w:r>
      <w:r>
        <w:rPr>
          <w:rFonts w:hint="eastAsia" w:ascii="宋体" w:hAnsi="宋体" w:cs="宋体"/>
          <w:b/>
          <w:bCs/>
          <w:szCs w:val="21"/>
        </w:rPr>
        <w:t>包</w:t>
      </w:r>
      <w:r>
        <w:rPr>
          <w:rFonts w:hint="eastAsia" w:ascii="宋体" w:hAnsi="宋体" w:cs="宋体"/>
          <w:b/>
          <w:szCs w:val="21"/>
        </w:rPr>
        <w:t>：水处理</w:t>
      </w:r>
      <w:r>
        <w:rPr>
          <w:rFonts w:ascii="宋体" w:hAnsi="宋体" w:cs="宋体"/>
          <w:b/>
          <w:szCs w:val="21"/>
        </w:rPr>
        <w:t>生产</w:t>
      </w:r>
      <w:r>
        <w:rPr>
          <w:rFonts w:hint="eastAsia" w:ascii="宋体" w:hAnsi="宋体" w:cs="宋体"/>
          <w:b/>
          <w:szCs w:val="21"/>
        </w:rPr>
        <w:t>药剂</w:t>
      </w:r>
    </w:p>
    <w:p w14:paraId="4B2CCABB">
      <w:pPr>
        <w:spacing w:before="312" w:beforeLines="100" w:line="360" w:lineRule="auto"/>
        <w:rPr>
          <w:rFonts w:hint="eastAsia" w:ascii="宋体" w:hAnsi="宋体" w:cs="宋体"/>
          <w:b/>
          <w:szCs w:val="21"/>
        </w:rPr>
      </w:pPr>
      <w:r>
        <w:rPr>
          <w:rFonts w:hint="eastAsia" w:ascii="宋体" w:hAnsi="宋体" w:cs="宋体"/>
          <w:b/>
          <w:szCs w:val="21"/>
        </w:rPr>
        <w:t>一、采购清单</w:t>
      </w:r>
    </w:p>
    <w:tbl>
      <w:tblPr>
        <w:tblStyle w:val="1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138"/>
        <w:gridCol w:w="3806"/>
        <w:gridCol w:w="997"/>
        <w:gridCol w:w="1559"/>
        <w:gridCol w:w="1104"/>
      </w:tblGrid>
      <w:tr w14:paraId="215C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106A3689">
            <w:pPr>
              <w:widowControl/>
              <w:spacing w:line="360" w:lineRule="auto"/>
              <w:jc w:val="center"/>
              <w:rPr>
                <w:rFonts w:hint="eastAsia" w:ascii="宋体" w:hAnsi="宋体" w:cs="宋体"/>
                <w:b/>
                <w:bCs/>
                <w:szCs w:val="21"/>
              </w:rPr>
            </w:pPr>
            <w:r>
              <w:rPr>
                <w:rFonts w:hint="eastAsia" w:ascii="宋体" w:hAnsi="宋体" w:cs="宋体"/>
                <w:b/>
                <w:bCs/>
                <w:szCs w:val="21"/>
              </w:rPr>
              <w:t>项次</w:t>
            </w:r>
          </w:p>
        </w:tc>
        <w:tc>
          <w:tcPr>
            <w:tcW w:w="1134" w:type="dxa"/>
            <w:noWrap/>
            <w:vAlign w:val="center"/>
          </w:tcPr>
          <w:p w14:paraId="55BAEE00">
            <w:pPr>
              <w:widowControl/>
              <w:spacing w:line="360" w:lineRule="auto"/>
              <w:jc w:val="center"/>
              <w:rPr>
                <w:rFonts w:hint="eastAsia" w:ascii="宋体" w:hAnsi="宋体" w:cs="宋体"/>
                <w:b/>
                <w:bCs/>
                <w:szCs w:val="21"/>
              </w:rPr>
            </w:pPr>
            <w:r>
              <w:rPr>
                <w:rFonts w:hint="eastAsia" w:ascii="宋体" w:hAnsi="宋体" w:cs="宋体"/>
                <w:b/>
                <w:bCs/>
                <w:szCs w:val="21"/>
              </w:rPr>
              <w:t>药剂名称</w:t>
            </w:r>
          </w:p>
        </w:tc>
        <w:tc>
          <w:tcPr>
            <w:tcW w:w="3828" w:type="dxa"/>
            <w:noWrap/>
            <w:vAlign w:val="center"/>
          </w:tcPr>
          <w:p w14:paraId="7F4953BB">
            <w:pPr>
              <w:widowControl/>
              <w:spacing w:line="360" w:lineRule="auto"/>
              <w:jc w:val="center"/>
              <w:rPr>
                <w:rFonts w:hint="eastAsia" w:ascii="宋体" w:hAnsi="宋体" w:cs="宋体"/>
                <w:b/>
                <w:bCs/>
                <w:szCs w:val="21"/>
              </w:rPr>
            </w:pPr>
            <w:r>
              <w:rPr>
                <w:rFonts w:hint="eastAsia" w:ascii="宋体" w:hAnsi="宋体" w:cs="宋体"/>
                <w:b/>
                <w:bCs/>
                <w:szCs w:val="21"/>
              </w:rPr>
              <w:t>规格型号要求</w:t>
            </w:r>
          </w:p>
        </w:tc>
        <w:tc>
          <w:tcPr>
            <w:tcW w:w="992" w:type="dxa"/>
            <w:noWrap/>
            <w:vAlign w:val="center"/>
          </w:tcPr>
          <w:p w14:paraId="3B1E360E">
            <w:pPr>
              <w:widowControl/>
              <w:spacing w:line="360" w:lineRule="auto"/>
              <w:jc w:val="center"/>
              <w:rPr>
                <w:rFonts w:hint="eastAsia" w:ascii="宋体" w:hAnsi="宋体" w:cs="宋体"/>
                <w:b/>
                <w:bCs/>
                <w:szCs w:val="21"/>
              </w:rPr>
            </w:pPr>
            <w:r>
              <w:rPr>
                <w:rFonts w:hint="eastAsia" w:ascii="宋体" w:hAnsi="宋体" w:cs="宋体"/>
                <w:b/>
                <w:bCs/>
                <w:szCs w:val="21"/>
              </w:rPr>
              <w:t>预估采购数量</w:t>
            </w:r>
          </w:p>
        </w:tc>
        <w:tc>
          <w:tcPr>
            <w:tcW w:w="1559" w:type="dxa"/>
            <w:noWrap/>
            <w:vAlign w:val="center"/>
          </w:tcPr>
          <w:p w14:paraId="110C7A26">
            <w:pPr>
              <w:widowControl/>
              <w:spacing w:line="360" w:lineRule="auto"/>
              <w:jc w:val="center"/>
              <w:rPr>
                <w:rFonts w:hint="eastAsia" w:ascii="宋体" w:hAnsi="宋体" w:cs="宋体"/>
                <w:b/>
                <w:bCs/>
                <w:szCs w:val="21"/>
              </w:rPr>
            </w:pPr>
            <w:r>
              <w:rPr>
                <w:rFonts w:hint="eastAsia" w:ascii="宋体" w:hAnsi="宋体" w:cs="宋体"/>
                <w:b/>
                <w:bCs/>
                <w:szCs w:val="21"/>
              </w:rPr>
              <w:t>单价最高限价</w:t>
            </w:r>
          </w:p>
          <w:p w14:paraId="26B6CD16">
            <w:pPr>
              <w:widowControl/>
              <w:spacing w:line="360" w:lineRule="auto"/>
              <w:jc w:val="center"/>
              <w:rPr>
                <w:rFonts w:hint="eastAsia" w:ascii="宋体" w:hAnsi="宋体" w:cs="宋体"/>
                <w:b/>
                <w:bCs/>
                <w:szCs w:val="21"/>
              </w:rPr>
            </w:pPr>
            <w:r>
              <w:rPr>
                <w:rFonts w:hint="eastAsia" w:ascii="宋体" w:hAnsi="宋体" w:cs="宋体"/>
                <w:b/>
                <w:bCs/>
                <w:szCs w:val="21"/>
              </w:rPr>
              <w:t>(元/吨)</w:t>
            </w:r>
          </w:p>
        </w:tc>
        <w:tc>
          <w:tcPr>
            <w:tcW w:w="1100" w:type="dxa"/>
            <w:noWrap/>
            <w:vAlign w:val="center"/>
          </w:tcPr>
          <w:p w14:paraId="4DE69132">
            <w:pPr>
              <w:widowControl/>
              <w:spacing w:line="360" w:lineRule="auto"/>
              <w:jc w:val="center"/>
              <w:rPr>
                <w:rFonts w:hint="eastAsia" w:ascii="宋体" w:hAnsi="宋体" w:cs="宋体"/>
                <w:b/>
                <w:bCs/>
                <w:szCs w:val="21"/>
              </w:rPr>
            </w:pPr>
            <w:r>
              <w:rPr>
                <w:rFonts w:hint="eastAsia" w:ascii="宋体" w:hAnsi="宋体" w:cs="宋体"/>
                <w:b/>
                <w:bCs/>
                <w:szCs w:val="21"/>
              </w:rPr>
              <w:t>参考品牌</w:t>
            </w:r>
          </w:p>
        </w:tc>
      </w:tr>
      <w:tr w14:paraId="1512B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noWrap/>
            <w:vAlign w:val="center"/>
          </w:tcPr>
          <w:p w14:paraId="07063B04">
            <w:pPr>
              <w:widowControl/>
              <w:spacing w:line="360" w:lineRule="auto"/>
              <w:jc w:val="left"/>
              <w:rPr>
                <w:rFonts w:hint="eastAsia" w:ascii="宋体" w:hAnsi="宋体" w:cs="宋体"/>
                <w:szCs w:val="21"/>
              </w:rPr>
            </w:pPr>
            <w:r>
              <w:rPr>
                <w:rFonts w:hint="eastAsia" w:ascii="宋体" w:hAnsi="宋体" w:cs="宋体"/>
                <w:szCs w:val="21"/>
              </w:rPr>
              <w:t>1、河水一体化净化设备药剂</w:t>
            </w:r>
          </w:p>
        </w:tc>
      </w:tr>
      <w:tr w14:paraId="6BF55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0A4A9070">
            <w:pPr>
              <w:widowControl/>
              <w:spacing w:line="360" w:lineRule="auto"/>
              <w:jc w:val="center"/>
              <w:rPr>
                <w:rFonts w:hint="eastAsia" w:ascii="宋体" w:hAnsi="宋体" w:cs="宋体"/>
                <w:szCs w:val="21"/>
              </w:rPr>
            </w:pPr>
            <w:r>
              <w:rPr>
                <w:rFonts w:hint="eastAsia" w:ascii="宋体" w:hAnsi="宋体" w:cs="宋体"/>
                <w:szCs w:val="21"/>
              </w:rPr>
              <w:t>1</w:t>
            </w:r>
          </w:p>
        </w:tc>
        <w:tc>
          <w:tcPr>
            <w:tcW w:w="1134" w:type="dxa"/>
            <w:vAlign w:val="center"/>
          </w:tcPr>
          <w:p w14:paraId="6993DB39">
            <w:pPr>
              <w:widowControl/>
              <w:spacing w:line="360" w:lineRule="auto"/>
              <w:jc w:val="center"/>
              <w:rPr>
                <w:rFonts w:hint="eastAsia" w:ascii="宋体" w:hAnsi="宋体" w:cs="宋体"/>
                <w:szCs w:val="21"/>
              </w:rPr>
            </w:pPr>
            <w:r>
              <w:rPr>
                <w:rFonts w:hint="eastAsia" w:ascii="宋体" w:hAnsi="宋体" w:cs="宋体"/>
                <w:szCs w:val="21"/>
              </w:rPr>
              <w:t>絮凝剂（PAC）</w:t>
            </w:r>
          </w:p>
        </w:tc>
        <w:tc>
          <w:tcPr>
            <w:tcW w:w="3828" w:type="dxa"/>
            <w:vAlign w:val="center"/>
          </w:tcPr>
          <w:p w14:paraId="684DFEEF">
            <w:pPr>
              <w:widowControl/>
              <w:spacing w:line="360" w:lineRule="auto"/>
              <w:jc w:val="left"/>
              <w:rPr>
                <w:rFonts w:hint="eastAsia" w:ascii="宋体" w:hAnsi="宋体" w:cs="宋体"/>
                <w:szCs w:val="21"/>
              </w:rPr>
            </w:pPr>
            <w:r>
              <w:rPr>
                <w:rFonts w:hint="eastAsia" w:ascii="宋体" w:hAnsi="宋体" w:cs="宋体"/>
                <w:szCs w:val="21"/>
              </w:rPr>
              <w:t>氧化铝（AL2O3）的质量分数／％≥30；盐基度/% 40.0-90.0；不溶物的质量分数≤0.6；PH值（10g/L水溶液）3.5-5.0；砷（AS）的质量分数/%≤0.0002；铅（Pb）的质量分数/%　≤0.001；镉（Cd）的质量分数/%≤0.0002；汞 (Hg)的质量分数/%≤0.00001；六价铬（Cr+5）的质量分数/%≤0.0005</w:t>
            </w:r>
          </w:p>
        </w:tc>
        <w:tc>
          <w:tcPr>
            <w:tcW w:w="992" w:type="dxa"/>
            <w:vAlign w:val="center"/>
          </w:tcPr>
          <w:p w14:paraId="1339FFE0">
            <w:pPr>
              <w:widowControl/>
              <w:spacing w:line="360" w:lineRule="auto"/>
              <w:jc w:val="center"/>
              <w:rPr>
                <w:rFonts w:hint="eastAsia" w:ascii="宋体" w:hAnsi="宋体" w:cs="宋体"/>
                <w:szCs w:val="21"/>
              </w:rPr>
            </w:pPr>
            <w:r>
              <w:rPr>
                <w:rFonts w:hint="eastAsia" w:ascii="宋体" w:hAnsi="宋体" w:cs="宋体"/>
                <w:szCs w:val="21"/>
              </w:rPr>
              <w:t>120吨</w:t>
            </w:r>
          </w:p>
        </w:tc>
        <w:tc>
          <w:tcPr>
            <w:tcW w:w="1559" w:type="dxa"/>
            <w:noWrap/>
            <w:vAlign w:val="center"/>
          </w:tcPr>
          <w:p w14:paraId="331A012D">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2299</w:t>
            </w:r>
          </w:p>
        </w:tc>
        <w:tc>
          <w:tcPr>
            <w:tcW w:w="1100" w:type="dxa"/>
            <w:vAlign w:val="center"/>
          </w:tcPr>
          <w:p w14:paraId="07ABFC29">
            <w:pPr>
              <w:widowControl/>
              <w:spacing w:line="360" w:lineRule="auto"/>
              <w:jc w:val="center"/>
              <w:rPr>
                <w:rFonts w:hint="eastAsia" w:ascii="宋体" w:hAnsi="宋体" w:cs="宋体"/>
                <w:szCs w:val="21"/>
              </w:rPr>
            </w:pPr>
            <w:r>
              <w:rPr>
                <w:rFonts w:hint="eastAsia" w:ascii="宋体" w:hAnsi="宋体" w:cs="宋体"/>
                <w:szCs w:val="21"/>
              </w:rPr>
              <w:t>　</w:t>
            </w:r>
          </w:p>
        </w:tc>
      </w:tr>
      <w:tr w14:paraId="20BC6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E40F765">
            <w:pPr>
              <w:widowControl/>
              <w:spacing w:line="360" w:lineRule="auto"/>
              <w:jc w:val="center"/>
              <w:rPr>
                <w:rFonts w:hint="eastAsia" w:ascii="宋体" w:hAnsi="宋体" w:cs="宋体"/>
                <w:szCs w:val="21"/>
              </w:rPr>
            </w:pPr>
            <w:r>
              <w:rPr>
                <w:rFonts w:hint="eastAsia" w:ascii="宋体" w:hAnsi="宋体" w:cs="宋体"/>
                <w:szCs w:val="21"/>
              </w:rPr>
              <w:t>2</w:t>
            </w:r>
          </w:p>
        </w:tc>
        <w:tc>
          <w:tcPr>
            <w:tcW w:w="1134" w:type="dxa"/>
            <w:vAlign w:val="center"/>
          </w:tcPr>
          <w:p w14:paraId="5D5FA88B">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39D1C7F2">
            <w:pPr>
              <w:widowControl/>
              <w:spacing w:line="360" w:lineRule="auto"/>
              <w:jc w:val="left"/>
              <w:rPr>
                <w:rFonts w:hint="eastAsia" w:ascii="宋体" w:hAnsi="宋体" w:cs="宋体"/>
                <w:szCs w:val="21"/>
              </w:rPr>
            </w:pPr>
            <w:r>
              <w:rPr>
                <w:rFonts w:hint="eastAsia" w:ascii="宋体" w:hAnsi="宋体" w:cs="宋体"/>
                <w:szCs w:val="21"/>
              </w:rPr>
              <w:t>阴离子聚丙烯酰胺，外观为白色粉末，分子量1000万-2000万，</w:t>
            </w:r>
          </w:p>
          <w:p w14:paraId="3FF05486">
            <w:pPr>
              <w:widowControl/>
              <w:spacing w:line="360" w:lineRule="auto"/>
              <w:jc w:val="left"/>
              <w:rPr>
                <w:rFonts w:hint="eastAsia" w:ascii="宋体" w:hAnsi="宋体" w:cs="宋体"/>
                <w:szCs w:val="21"/>
              </w:rPr>
            </w:pPr>
            <w:r>
              <w:rPr>
                <w:rFonts w:hint="eastAsia" w:ascii="宋体" w:hAnsi="宋体" w:cs="宋体"/>
                <w:szCs w:val="21"/>
              </w:rPr>
              <w:t>包装：25kg/袋，固含量（固体）／％≥86.0；丙烯酰胺单体含量（干基）／％≤0.05；溶解时间（阴离子型）/min≤60；溶解时间（非离子型）/min≤90；筛余物（1.00mm筛网）／％≤2；筛余物（180um筛网）／％≥80.0；水不溶物／％≤0.3；氯化物含量／％≤0.5；硫酸盐含量／％≤2.0</w:t>
            </w:r>
          </w:p>
        </w:tc>
        <w:tc>
          <w:tcPr>
            <w:tcW w:w="992" w:type="dxa"/>
            <w:vAlign w:val="center"/>
          </w:tcPr>
          <w:p w14:paraId="01E768B5">
            <w:pPr>
              <w:widowControl/>
              <w:spacing w:line="360" w:lineRule="auto"/>
              <w:jc w:val="center"/>
              <w:rPr>
                <w:rFonts w:hint="eastAsia" w:ascii="宋体" w:hAnsi="宋体" w:cs="宋体"/>
                <w:szCs w:val="21"/>
              </w:rPr>
            </w:pPr>
            <w:r>
              <w:rPr>
                <w:rFonts w:hint="eastAsia" w:ascii="宋体" w:hAnsi="宋体" w:cs="宋体"/>
                <w:szCs w:val="21"/>
              </w:rPr>
              <w:t>5吨</w:t>
            </w:r>
          </w:p>
        </w:tc>
        <w:tc>
          <w:tcPr>
            <w:tcW w:w="1559" w:type="dxa"/>
            <w:noWrap/>
            <w:vAlign w:val="center"/>
          </w:tcPr>
          <w:p w14:paraId="25A89AEF">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2377</w:t>
            </w:r>
          </w:p>
        </w:tc>
        <w:tc>
          <w:tcPr>
            <w:tcW w:w="1100" w:type="dxa"/>
            <w:vAlign w:val="center"/>
          </w:tcPr>
          <w:p w14:paraId="504C78A0">
            <w:pPr>
              <w:widowControl/>
              <w:spacing w:line="360" w:lineRule="auto"/>
              <w:jc w:val="center"/>
              <w:rPr>
                <w:rFonts w:hint="eastAsia" w:ascii="宋体" w:hAnsi="宋体" w:cs="宋体"/>
                <w:szCs w:val="21"/>
              </w:rPr>
            </w:pPr>
          </w:p>
        </w:tc>
      </w:tr>
      <w:tr w14:paraId="6A05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77A0933C">
            <w:pPr>
              <w:widowControl/>
              <w:spacing w:line="360" w:lineRule="auto"/>
              <w:jc w:val="center"/>
              <w:rPr>
                <w:rFonts w:hint="eastAsia" w:ascii="宋体" w:hAnsi="宋体" w:cs="宋体"/>
                <w:szCs w:val="21"/>
              </w:rPr>
            </w:pPr>
            <w:r>
              <w:rPr>
                <w:rFonts w:hint="eastAsia" w:ascii="宋体" w:hAnsi="宋体" w:cs="宋体"/>
                <w:szCs w:val="21"/>
              </w:rPr>
              <w:t>3</w:t>
            </w:r>
          </w:p>
        </w:tc>
        <w:tc>
          <w:tcPr>
            <w:tcW w:w="1134" w:type="dxa"/>
            <w:vAlign w:val="center"/>
          </w:tcPr>
          <w:p w14:paraId="663D65D2">
            <w:pPr>
              <w:widowControl/>
              <w:spacing w:line="360" w:lineRule="auto"/>
              <w:jc w:val="center"/>
              <w:rPr>
                <w:rFonts w:hint="eastAsia" w:ascii="宋体" w:hAnsi="宋体" w:cs="宋体"/>
                <w:szCs w:val="21"/>
              </w:rPr>
            </w:pPr>
            <w:r>
              <w:rPr>
                <w:rFonts w:hint="eastAsia" w:ascii="宋体" w:hAnsi="宋体" w:cs="宋体"/>
                <w:szCs w:val="21"/>
              </w:rPr>
              <w:t>杀菌剂(次氯酸钠)</w:t>
            </w:r>
          </w:p>
        </w:tc>
        <w:tc>
          <w:tcPr>
            <w:tcW w:w="3828" w:type="dxa"/>
            <w:vAlign w:val="center"/>
          </w:tcPr>
          <w:p w14:paraId="5C782166">
            <w:pPr>
              <w:widowControl/>
              <w:spacing w:line="360" w:lineRule="auto"/>
              <w:jc w:val="left"/>
              <w:rPr>
                <w:rFonts w:hint="eastAsia" w:ascii="宋体" w:hAnsi="宋体" w:cs="宋体"/>
                <w:szCs w:val="21"/>
              </w:rPr>
            </w:pPr>
            <w:r>
              <w:rPr>
                <w:rFonts w:hint="eastAsia" w:ascii="宋体" w:hAnsi="宋体" w:cs="宋体"/>
                <w:szCs w:val="21"/>
              </w:rPr>
              <w:t>有效含量10%</w:t>
            </w:r>
          </w:p>
        </w:tc>
        <w:tc>
          <w:tcPr>
            <w:tcW w:w="992" w:type="dxa"/>
            <w:vAlign w:val="center"/>
          </w:tcPr>
          <w:p w14:paraId="07A6266B">
            <w:pPr>
              <w:widowControl/>
              <w:spacing w:line="360" w:lineRule="auto"/>
              <w:jc w:val="center"/>
              <w:rPr>
                <w:rFonts w:hint="eastAsia" w:ascii="宋体" w:hAnsi="宋体" w:cs="宋体"/>
                <w:szCs w:val="21"/>
              </w:rPr>
            </w:pPr>
            <w:r>
              <w:rPr>
                <w:rFonts w:hint="eastAsia" w:ascii="宋体" w:hAnsi="宋体" w:cs="宋体"/>
                <w:szCs w:val="21"/>
              </w:rPr>
              <w:t>8吨</w:t>
            </w:r>
          </w:p>
        </w:tc>
        <w:tc>
          <w:tcPr>
            <w:tcW w:w="1559" w:type="dxa"/>
            <w:noWrap/>
            <w:vAlign w:val="center"/>
          </w:tcPr>
          <w:p w14:paraId="0C1C7A9E">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1987</w:t>
            </w:r>
          </w:p>
        </w:tc>
        <w:tc>
          <w:tcPr>
            <w:tcW w:w="1100" w:type="dxa"/>
            <w:vAlign w:val="center"/>
          </w:tcPr>
          <w:p w14:paraId="3B98A52A">
            <w:pPr>
              <w:widowControl/>
              <w:spacing w:line="360" w:lineRule="auto"/>
              <w:jc w:val="center"/>
              <w:rPr>
                <w:rFonts w:hint="eastAsia" w:ascii="宋体" w:hAnsi="宋体" w:cs="宋体"/>
                <w:szCs w:val="21"/>
              </w:rPr>
            </w:pPr>
          </w:p>
        </w:tc>
      </w:tr>
      <w:tr w14:paraId="2577F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5D92ACC2">
            <w:pPr>
              <w:widowControl/>
              <w:spacing w:line="360" w:lineRule="auto"/>
              <w:jc w:val="center"/>
              <w:rPr>
                <w:rFonts w:hint="eastAsia" w:ascii="宋体" w:hAnsi="宋体" w:cs="宋体"/>
                <w:szCs w:val="21"/>
              </w:rPr>
            </w:pPr>
            <w:r>
              <w:rPr>
                <w:rFonts w:hint="eastAsia" w:ascii="宋体" w:hAnsi="宋体" w:cs="宋体"/>
                <w:szCs w:val="21"/>
              </w:rPr>
              <w:t>4</w:t>
            </w:r>
          </w:p>
        </w:tc>
        <w:tc>
          <w:tcPr>
            <w:tcW w:w="1134" w:type="dxa"/>
            <w:vAlign w:val="center"/>
          </w:tcPr>
          <w:p w14:paraId="5EFA64DE">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46FC830C">
            <w:pPr>
              <w:widowControl/>
              <w:spacing w:line="360" w:lineRule="auto"/>
              <w:jc w:val="left"/>
              <w:rPr>
                <w:rFonts w:hint="eastAsia" w:ascii="宋体" w:hAnsi="宋体" w:cs="宋体"/>
                <w:szCs w:val="21"/>
              </w:rPr>
            </w:pPr>
            <w:r>
              <w:rPr>
                <w:rFonts w:hint="eastAsia" w:ascii="宋体" w:hAnsi="宋体" w:cs="宋体"/>
                <w:szCs w:val="21"/>
              </w:rPr>
              <w:t>阳离子聚丙烯酰胺，外观为白色粉粒，分子量1000万-1200万，包装：25 kg/袋，相对分子质量≥100×104；固含量（固体）／％≥85；阳离子度/% 70；丙烯酰胺单体含量（干基）／％≤0.1；溶解时间（1g/L）/min≤60；筛余物（1.40mm筛网）／％≤5；筛余物（180um筛网）／％≥80.0；水不溶物／％≤0.5；氯化物含量／％≤0.08；硫酸盐含量／％≤0.05，（污泥脱水药剂，需要先送样品，做试验，根据效果而定）</w:t>
            </w:r>
          </w:p>
        </w:tc>
        <w:tc>
          <w:tcPr>
            <w:tcW w:w="992" w:type="dxa"/>
            <w:vAlign w:val="center"/>
          </w:tcPr>
          <w:p w14:paraId="603C3A80">
            <w:pPr>
              <w:widowControl/>
              <w:spacing w:line="360" w:lineRule="auto"/>
              <w:jc w:val="center"/>
              <w:rPr>
                <w:rFonts w:hint="eastAsia" w:ascii="宋体" w:hAnsi="宋体" w:cs="宋体"/>
                <w:szCs w:val="21"/>
              </w:rPr>
            </w:pPr>
            <w:r>
              <w:rPr>
                <w:rFonts w:hint="eastAsia" w:ascii="宋体" w:hAnsi="宋体" w:cs="宋体"/>
                <w:szCs w:val="21"/>
              </w:rPr>
              <w:t>5吨</w:t>
            </w:r>
          </w:p>
        </w:tc>
        <w:tc>
          <w:tcPr>
            <w:tcW w:w="1559" w:type="dxa"/>
            <w:noWrap/>
            <w:vAlign w:val="center"/>
          </w:tcPr>
          <w:p w14:paraId="019D23DC">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8033</w:t>
            </w:r>
          </w:p>
        </w:tc>
        <w:tc>
          <w:tcPr>
            <w:tcW w:w="1100" w:type="dxa"/>
            <w:vAlign w:val="center"/>
          </w:tcPr>
          <w:p w14:paraId="04755CDB">
            <w:pPr>
              <w:widowControl/>
              <w:spacing w:line="360" w:lineRule="auto"/>
              <w:jc w:val="center"/>
              <w:rPr>
                <w:rFonts w:hint="eastAsia" w:ascii="宋体" w:hAnsi="宋体" w:cs="宋体"/>
                <w:szCs w:val="21"/>
              </w:rPr>
            </w:pPr>
          </w:p>
        </w:tc>
      </w:tr>
      <w:tr w14:paraId="1113B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vAlign w:val="center"/>
          </w:tcPr>
          <w:p w14:paraId="07638C8D">
            <w:pPr>
              <w:widowControl/>
              <w:spacing w:line="360" w:lineRule="auto"/>
              <w:jc w:val="left"/>
              <w:rPr>
                <w:rFonts w:hint="eastAsia" w:ascii="宋体" w:hAnsi="宋体" w:cs="宋体"/>
                <w:szCs w:val="21"/>
              </w:rPr>
            </w:pPr>
            <w:r>
              <w:rPr>
                <w:rFonts w:hint="eastAsia" w:ascii="宋体" w:hAnsi="宋体" w:cs="宋体"/>
                <w:szCs w:val="21"/>
              </w:rPr>
              <w:t>2、除盐水及炉水药剂</w:t>
            </w:r>
          </w:p>
        </w:tc>
      </w:tr>
      <w:tr w14:paraId="2FB25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C55FA4A">
            <w:pPr>
              <w:widowControl/>
              <w:spacing w:line="360" w:lineRule="auto"/>
              <w:jc w:val="center"/>
              <w:rPr>
                <w:rFonts w:hint="eastAsia" w:ascii="宋体" w:hAnsi="宋体" w:cs="宋体"/>
                <w:szCs w:val="21"/>
              </w:rPr>
            </w:pPr>
            <w:r>
              <w:rPr>
                <w:rFonts w:hint="eastAsia" w:ascii="宋体" w:hAnsi="宋体" w:cs="宋体"/>
                <w:szCs w:val="21"/>
              </w:rPr>
              <w:t>1</w:t>
            </w:r>
          </w:p>
        </w:tc>
        <w:tc>
          <w:tcPr>
            <w:tcW w:w="1134" w:type="dxa"/>
            <w:vAlign w:val="center"/>
          </w:tcPr>
          <w:p w14:paraId="496FBC9D">
            <w:pPr>
              <w:widowControl/>
              <w:spacing w:line="360" w:lineRule="auto"/>
              <w:jc w:val="center"/>
              <w:rPr>
                <w:rFonts w:hint="eastAsia" w:ascii="宋体" w:hAnsi="宋体" w:cs="宋体"/>
                <w:szCs w:val="21"/>
              </w:rPr>
            </w:pPr>
            <w:r>
              <w:rPr>
                <w:rFonts w:hint="eastAsia" w:ascii="宋体" w:hAnsi="宋体" w:cs="宋体"/>
                <w:szCs w:val="21"/>
              </w:rPr>
              <w:t>亚硫酸氢钠（还原剂）</w:t>
            </w:r>
          </w:p>
        </w:tc>
        <w:tc>
          <w:tcPr>
            <w:tcW w:w="3828" w:type="dxa"/>
            <w:vAlign w:val="center"/>
          </w:tcPr>
          <w:p w14:paraId="5EA3BF61">
            <w:pPr>
              <w:widowControl/>
              <w:spacing w:line="360" w:lineRule="auto"/>
              <w:jc w:val="left"/>
              <w:rPr>
                <w:rFonts w:hint="eastAsia" w:ascii="宋体" w:hAnsi="宋体" w:cs="宋体"/>
                <w:szCs w:val="21"/>
              </w:rPr>
            </w:pPr>
            <w:r>
              <w:rPr>
                <w:rFonts w:hint="eastAsia" w:ascii="宋体" w:hAnsi="宋体" w:cs="宋体"/>
                <w:szCs w:val="21"/>
              </w:rPr>
              <w:t>液体,SO2含量（%）38%，水不溶物（%）≤0.005, 氯化物（%）≤0.01, 重金属（%）≤0.01, 25kg/桶</w:t>
            </w:r>
          </w:p>
        </w:tc>
        <w:tc>
          <w:tcPr>
            <w:tcW w:w="992" w:type="dxa"/>
            <w:vAlign w:val="center"/>
          </w:tcPr>
          <w:p w14:paraId="4AF1DF1A">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3C08D3BE">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4333</w:t>
            </w:r>
          </w:p>
        </w:tc>
        <w:tc>
          <w:tcPr>
            <w:tcW w:w="1100" w:type="dxa"/>
            <w:vAlign w:val="center"/>
          </w:tcPr>
          <w:p w14:paraId="39AFFE0F">
            <w:pPr>
              <w:widowControl/>
              <w:spacing w:line="360" w:lineRule="auto"/>
              <w:jc w:val="center"/>
              <w:rPr>
                <w:rFonts w:hint="eastAsia" w:ascii="宋体" w:hAnsi="宋体" w:cs="宋体"/>
                <w:szCs w:val="21"/>
              </w:rPr>
            </w:pPr>
            <w:r>
              <w:rPr>
                <w:rFonts w:hint="eastAsia" w:ascii="宋体" w:hAnsi="宋体" w:cs="宋体"/>
                <w:szCs w:val="21"/>
              </w:rPr>
              <w:t>　</w:t>
            </w:r>
          </w:p>
        </w:tc>
      </w:tr>
      <w:tr w14:paraId="28FCF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8C20E45">
            <w:pPr>
              <w:widowControl/>
              <w:spacing w:line="360" w:lineRule="auto"/>
              <w:jc w:val="center"/>
              <w:rPr>
                <w:rFonts w:hint="eastAsia" w:ascii="宋体" w:hAnsi="宋体" w:cs="宋体"/>
                <w:szCs w:val="21"/>
              </w:rPr>
            </w:pPr>
            <w:r>
              <w:rPr>
                <w:rFonts w:hint="eastAsia" w:ascii="宋体" w:hAnsi="宋体" w:cs="宋体"/>
                <w:szCs w:val="21"/>
              </w:rPr>
              <w:t>2</w:t>
            </w:r>
          </w:p>
        </w:tc>
        <w:tc>
          <w:tcPr>
            <w:tcW w:w="1134" w:type="dxa"/>
            <w:vAlign w:val="center"/>
          </w:tcPr>
          <w:p w14:paraId="77AA5045">
            <w:pPr>
              <w:widowControl/>
              <w:spacing w:line="360" w:lineRule="auto"/>
              <w:jc w:val="center"/>
              <w:rPr>
                <w:rFonts w:hint="eastAsia" w:ascii="宋体" w:hAnsi="宋体" w:cs="宋体"/>
                <w:szCs w:val="21"/>
              </w:rPr>
            </w:pPr>
            <w:r>
              <w:rPr>
                <w:rFonts w:hint="eastAsia" w:ascii="宋体" w:hAnsi="宋体" w:cs="宋体"/>
                <w:szCs w:val="21"/>
              </w:rPr>
              <w:t>阻垢剂</w:t>
            </w:r>
          </w:p>
        </w:tc>
        <w:tc>
          <w:tcPr>
            <w:tcW w:w="3828" w:type="dxa"/>
            <w:vAlign w:val="center"/>
          </w:tcPr>
          <w:p w14:paraId="5BD653C9">
            <w:pPr>
              <w:widowControl/>
              <w:spacing w:line="360" w:lineRule="auto"/>
              <w:jc w:val="left"/>
              <w:rPr>
                <w:rFonts w:hint="eastAsia" w:ascii="宋体" w:hAnsi="宋体" w:cs="宋体"/>
                <w:szCs w:val="21"/>
              </w:rPr>
            </w:pPr>
            <w:r>
              <w:rPr>
                <w:rFonts w:hint="eastAsia" w:ascii="宋体" w:hAnsi="宋体" w:cs="宋体"/>
                <w:szCs w:val="21"/>
              </w:rPr>
              <w:t>进口品牌产品，适用于浓水RO/DTRO，在高浓缩盐、高硅等水质中具有普适性。所生产的药剂需提供膜厂家兼容性的认证证书。(1-羟基乙叉）双膦酸钠盐；10%-30%；不与铁铝氧化物及硅化合物凝聚形成不溶物，有效抑制硅的聚合与沉积，浓水侧允许硅=290PPM，不对膜产生影响，使用后不会影响膜产水率。</w:t>
            </w:r>
          </w:p>
        </w:tc>
        <w:tc>
          <w:tcPr>
            <w:tcW w:w="992" w:type="dxa"/>
            <w:vAlign w:val="center"/>
          </w:tcPr>
          <w:p w14:paraId="48593570">
            <w:pPr>
              <w:widowControl/>
              <w:spacing w:line="360" w:lineRule="auto"/>
              <w:jc w:val="center"/>
              <w:rPr>
                <w:rFonts w:hint="eastAsia" w:ascii="宋体" w:hAnsi="宋体" w:cs="宋体"/>
                <w:szCs w:val="21"/>
              </w:rPr>
            </w:pPr>
            <w:r>
              <w:rPr>
                <w:rFonts w:hint="eastAsia" w:ascii="宋体" w:hAnsi="宋体" w:cs="宋体"/>
                <w:szCs w:val="21"/>
              </w:rPr>
              <w:t>8吨</w:t>
            </w:r>
          </w:p>
        </w:tc>
        <w:tc>
          <w:tcPr>
            <w:tcW w:w="1559" w:type="dxa"/>
            <w:noWrap/>
            <w:vAlign w:val="center"/>
          </w:tcPr>
          <w:p w14:paraId="2163E75A">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12883</w:t>
            </w:r>
          </w:p>
        </w:tc>
        <w:tc>
          <w:tcPr>
            <w:tcW w:w="1100" w:type="dxa"/>
            <w:vAlign w:val="center"/>
          </w:tcPr>
          <w:p w14:paraId="10AF1D1F">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6AD35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0B5B1F95">
            <w:pPr>
              <w:widowControl/>
              <w:spacing w:line="360" w:lineRule="auto"/>
              <w:jc w:val="center"/>
              <w:rPr>
                <w:rFonts w:hint="eastAsia" w:ascii="宋体" w:hAnsi="宋体" w:cs="宋体"/>
                <w:szCs w:val="21"/>
              </w:rPr>
            </w:pPr>
            <w:r>
              <w:rPr>
                <w:rFonts w:hint="eastAsia" w:ascii="宋体" w:hAnsi="宋体" w:cs="宋体"/>
                <w:szCs w:val="21"/>
              </w:rPr>
              <w:t>3</w:t>
            </w:r>
          </w:p>
        </w:tc>
        <w:tc>
          <w:tcPr>
            <w:tcW w:w="1134" w:type="dxa"/>
            <w:vAlign w:val="center"/>
          </w:tcPr>
          <w:p w14:paraId="41D748BB">
            <w:pPr>
              <w:widowControl/>
              <w:spacing w:line="360" w:lineRule="auto"/>
              <w:jc w:val="center"/>
              <w:rPr>
                <w:rFonts w:hint="eastAsia" w:ascii="宋体" w:hAnsi="宋体" w:cs="宋体"/>
                <w:szCs w:val="21"/>
              </w:rPr>
            </w:pPr>
            <w:r>
              <w:rPr>
                <w:rFonts w:hint="eastAsia" w:ascii="宋体" w:hAnsi="宋体" w:cs="宋体"/>
                <w:szCs w:val="21"/>
              </w:rPr>
              <w:t>氨水</w:t>
            </w:r>
          </w:p>
        </w:tc>
        <w:tc>
          <w:tcPr>
            <w:tcW w:w="3828" w:type="dxa"/>
            <w:vAlign w:val="center"/>
          </w:tcPr>
          <w:p w14:paraId="7B0E1136">
            <w:pPr>
              <w:widowControl/>
              <w:spacing w:line="360" w:lineRule="auto"/>
              <w:jc w:val="left"/>
              <w:rPr>
                <w:rFonts w:hint="eastAsia" w:ascii="宋体" w:hAnsi="宋体" w:cs="宋体"/>
                <w:szCs w:val="21"/>
              </w:rPr>
            </w:pPr>
            <w:r>
              <w:rPr>
                <w:rFonts w:hint="eastAsia" w:ascii="宋体" w:hAnsi="宋体" w:cs="宋体"/>
                <w:szCs w:val="21"/>
              </w:rPr>
              <w:t>液体，浓度20%以上，25kg/桶</w:t>
            </w:r>
          </w:p>
        </w:tc>
        <w:tc>
          <w:tcPr>
            <w:tcW w:w="992" w:type="dxa"/>
            <w:vAlign w:val="center"/>
          </w:tcPr>
          <w:p w14:paraId="65B7384E">
            <w:pPr>
              <w:widowControl/>
              <w:spacing w:line="360" w:lineRule="auto"/>
              <w:jc w:val="center"/>
              <w:rPr>
                <w:rFonts w:hint="eastAsia" w:ascii="宋体" w:hAnsi="宋体" w:cs="宋体"/>
                <w:szCs w:val="21"/>
              </w:rPr>
            </w:pPr>
            <w:r>
              <w:rPr>
                <w:rFonts w:hint="eastAsia" w:ascii="宋体" w:hAnsi="宋体" w:cs="宋体"/>
                <w:szCs w:val="21"/>
              </w:rPr>
              <w:t>5吨</w:t>
            </w:r>
          </w:p>
        </w:tc>
        <w:tc>
          <w:tcPr>
            <w:tcW w:w="1559" w:type="dxa"/>
            <w:noWrap/>
            <w:vAlign w:val="center"/>
          </w:tcPr>
          <w:p w14:paraId="40F7F38F">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1527</w:t>
            </w:r>
          </w:p>
        </w:tc>
        <w:tc>
          <w:tcPr>
            <w:tcW w:w="1100" w:type="dxa"/>
            <w:vAlign w:val="center"/>
          </w:tcPr>
          <w:p w14:paraId="03478C05">
            <w:pPr>
              <w:widowControl/>
              <w:spacing w:line="360" w:lineRule="auto"/>
              <w:jc w:val="center"/>
              <w:rPr>
                <w:rFonts w:hint="eastAsia" w:ascii="宋体" w:hAnsi="宋体" w:cs="宋体"/>
                <w:szCs w:val="21"/>
              </w:rPr>
            </w:pPr>
            <w:r>
              <w:rPr>
                <w:rFonts w:hint="eastAsia" w:ascii="宋体" w:hAnsi="宋体" w:cs="宋体"/>
                <w:szCs w:val="21"/>
              </w:rPr>
              <w:t>　</w:t>
            </w:r>
          </w:p>
        </w:tc>
      </w:tr>
      <w:tr w14:paraId="14F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47F77D86">
            <w:pPr>
              <w:widowControl/>
              <w:spacing w:line="360" w:lineRule="auto"/>
              <w:jc w:val="center"/>
              <w:rPr>
                <w:rFonts w:hint="eastAsia" w:ascii="宋体" w:hAnsi="宋体" w:cs="宋体"/>
                <w:szCs w:val="21"/>
              </w:rPr>
            </w:pPr>
            <w:r>
              <w:rPr>
                <w:rFonts w:hint="eastAsia" w:ascii="宋体" w:hAnsi="宋体" w:cs="宋体"/>
                <w:szCs w:val="21"/>
              </w:rPr>
              <w:t>4</w:t>
            </w:r>
          </w:p>
        </w:tc>
        <w:tc>
          <w:tcPr>
            <w:tcW w:w="1134" w:type="dxa"/>
            <w:vAlign w:val="center"/>
          </w:tcPr>
          <w:p w14:paraId="7C97551E">
            <w:pPr>
              <w:widowControl/>
              <w:spacing w:line="360" w:lineRule="auto"/>
              <w:jc w:val="center"/>
              <w:rPr>
                <w:rFonts w:hint="eastAsia" w:ascii="宋体" w:hAnsi="宋体" w:cs="宋体"/>
                <w:szCs w:val="21"/>
              </w:rPr>
            </w:pPr>
            <w:r>
              <w:rPr>
                <w:rFonts w:hint="eastAsia" w:ascii="宋体" w:hAnsi="宋体" w:cs="宋体"/>
                <w:szCs w:val="21"/>
              </w:rPr>
              <w:t>非氧化性杀菌剂</w:t>
            </w:r>
          </w:p>
        </w:tc>
        <w:tc>
          <w:tcPr>
            <w:tcW w:w="3828" w:type="dxa"/>
            <w:vAlign w:val="center"/>
          </w:tcPr>
          <w:p w14:paraId="54A95F20">
            <w:pPr>
              <w:widowControl/>
              <w:spacing w:line="360" w:lineRule="auto"/>
              <w:jc w:val="left"/>
              <w:rPr>
                <w:rFonts w:hint="eastAsia" w:ascii="宋体" w:hAnsi="宋体" w:cs="宋体"/>
                <w:szCs w:val="21"/>
              </w:rPr>
            </w:pPr>
            <w:r>
              <w:rPr>
                <w:rFonts w:hint="eastAsia" w:ascii="宋体" w:hAnsi="宋体" w:cs="宋体"/>
                <w:szCs w:val="21"/>
              </w:rPr>
              <w:t>进口品牌产品，硝酸镁≤10%，5-氯-2-甲基-4-异噻唑啉-3-酮和2-甲基-4-异噻唑啉-3-酮(3：1)≤10%，所生产的药剂需提供膜厂家兼容性的认证证书</w:t>
            </w:r>
          </w:p>
        </w:tc>
        <w:tc>
          <w:tcPr>
            <w:tcW w:w="992" w:type="dxa"/>
            <w:vAlign w:val="center"/>
          </w:tcPr>
          <w:p w14:paraId="00B338F4">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769C9273">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8500</w:t>
            </w:r>
          </w:p>
        </w:tc>
        <w:tc>
          <w:tcPr>
            <w:tcW w:w="1100" w:type="dxa"/>
            <w:noWrap/>
            <w:vAlign w:val="center"/>
          </w:tcPr>
          <w:p w14:paraId="6FAB2D40">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78247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E36DA0E">
            <w:pPr>
              <w:widowControl/>
              <w:spacing w:line="360" w:lineRule="auto"/>
              <w:jc w:val="center"/>
              <w:rPr>
                <w:rFonts w:hint="eastAsia" w:ascii="宋体" w:hAnsi="宋体" w:cs="宋体"/>
                <w:szCs w:val="21"/>
              </w:rPr>
            </w:pPr>
            <w:r>
              <w:rPr>
                <w:rFonts w:hint="eastAsia" w:ascii="宋体" w:hAnsi="宋体" w:cs="宋体"/>
                <w:szCs w:val="21"/>
              </w:rPr>
              <w:t>5</w:t>
            </w:r>
          </w:p>
        </w:tc>
        <w:tc>
          <w:tcPr>
            <w:tcW w:w="1134" w:type="dxa"/>
            <w:vAlign w:val="center"/>
          </w:tcPr>
          <w:p w14:paraId="49584B83">
            <w:pPr>
              <w:widowControl/>
              <w:spacing w:line="360" w:lineRule="auto"/>
              <w:jc w:val="center"/>
              <w:rPr>
                <w:rFonts w:hint="eastAsia" w:ascii="宋体" w:hAnsi="宋体" w:cs="宋体"/>
                <w:szCs w:val="21"/>
              </w:rPr>
            </w:pPr>
            <w:r>
              <w:rPr>
                <w:rFonts w:hint="eastAsia" w:ascii="宋体" w:hAnsi="宋体" w:cs="宋体"/>
                <w:szCs w:val="21"/>
              </w:rPr>
              <w:t>氢氧化钠</w:t>
            </w:r>
          </w:p>
        </w:tc>
        <w:tc>
          <w:tcPr>
            <w:tcW w:w="3828" w:type="dxa"/>
            <w:vAlign w:val="center"/>
          </w:tcPr>
          <w:p w14:paraId="5B55C751">
            <w:pPr>
              <w:widowControl/>
              <w:spacing w:line="360" w:lineRule="auto"/>
              <w:jc w:val="left"/>
              <w:rPr>
                <w:rFonts w:hint="eastAsia" w:ascii="宋体" w:hAnsi="宋体" w:cs="宋体"/>
                <w:szCs w:val="21"/>
              </w:rPr>
            </w:pPr>
            <w:r>
              <w:rPr>
                <w:rFonts w:hint="eastAsia" w:ascii="宋体" w:hAnsi="宋体" w:cs="宋体"/>
                <w:szCs w:val="21"/>
              </w:rPr>
              <w:t>膜设备pH调节剂，液体，浓度40%，25kg/桶</w:t>
            </w:r>
          </w:p>
        </w:tc>
        <w:tc>
          <w:tcPr>
            <w:tcW w:w="992" w:type="dxa"/>
            <w:vAlign w:val="center"/>
          </w:tcPr>
          <w:p w14:paraId="04CC4965">
            <w:pPr>
              <w:widowControl/>
              <w:spacing w:line="360" w:lineRule="auto"/>
              <w:jc w:val="center"/>
              <w:rPr>
                <w:rFonts w:hint="eastAsia" w:ascii="宋体" w:hAnsi="宋体" w:cs="宋体"/>
                <w:szCs w:val="21"/>
              </w:rPr>
            </w:pPr>
            <w:r>
              <w:rPr>
                <w:rFonts w:hint="eastAsia" w:ascii="宋体" w:hAnsi="宋体" w:cs="宋体"/>
                <w:szCs w:val="21"/>
              </w:rPr>
              <w:t>4吨</w:t>
            </w:r>
          </w:p>
        </w:tc>
        <w:tc>
          <w:tcPr>
            <w:tcW w:w="1559" w:type="dxa"/>
            <w:noWrap/>
            <w:vAlign w:val="center"/>
          </w:tcPr>
          <w:p w14:paraId="2C284870">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1053</w:t>
            </w:r>
          </w:p>
        </w:tc>
        <w:tc>
          <w:tcPr>
            <w:tcW w:w="1100" w:type="dxa"/>
            <w:noWrap/>
            <w:vAlign w:val="center"/>
          </w:tcPr>
          <w:p w14:paraId="206FB2A0">
            <w:pPr>
              <w:widowControl/>
              <w:spacing w:line="360" w:lineRule="auto"/>
              <w:jc w:val="center"/>
              <w:rPr>
                <w:rFonts w:hint="eastAsia" w:ascii="宋体" w:hAnsi="宋体" w:cs="宋体"/>
                <w:szCs w:val="21"/>
              </w:rPr>
            </w:pPr>
            <w:r>
              <w:rPr>
                <w:rFonts w:hint="eastAsia" w:ascii="宋体" w:hAnsi="宋体" w:cs="宋体"/>
                <w:szCs w:val="21"/>
              </w:rPr>
              <w:t>　</w:t>
            </w:r>
          </w:p>
        </w:tc>
      </w:tr>
      <w:tr w14:paraId="24CCD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2A1B48C0">
            <w:pPr>
              <w:widowControl/>
              <w:spacing w:line="360" w:lineRule="auto"/>
              <w:jc w:val="center"/>
              <w:rPr>
                <w:rFonts w:hint="eastAsia" w:ascii="宋体" w:hAnsi="宋体" w:cs="宋体"/>
                <w:szCs w:val="21"/>
              </w:rPr>
            </w:pPr>
            <w:r>
              <w:rPr>
                <w:rFonts w:hint="eastAsia" w:ascii="宋体" w:hAnsi="宋体" w:cs="宋体"/>
                <w:szCs w:val="21"/>
              </w:rPr>
              <w:t>6</w:t>
            </w:r>
          </w:p>
        </w:tc>
        <w:tc>
          <w:tcPr>
            <w:tcW w:w="1134" w:type="dxa"/>
            <w:vAlign w:val="center"/>
          </w:tcPr>
          <w:p w14:paraId="73C2B7B4">
            <w:pPr>
              <w:widowControl/>
              <w:spacing w:line="360" w:lineRule="auto"/>
              <w:jc w:val="center"/>
              <w:rPr>
                <w:rFonts w:hint="eastAsia" w:ascii="宋体" w:hAnsi="宋体" w:cs="宋体"/>
                <w:szCs w:val="21"/>
              </w:rPr>
            </w:pPr>
            <w:r>
              <w:rPr>
                <w:rFonts w:hint="eastAsia" w:ascii="宋体" w:hAnsi="宋体" w:cs="宋体"/>
                <w:szCs w:val="21"/>
              </w:rPr>
              <w:t>酸性膜清洗剂</w:t>
            </w:r>
          </w:p>
        </w:tc>
        <w:tc>
          <w:tcPr>
            <w:tcW w:w="3828" w:type="dxa"/>
            <w:vAlign w:val="center"/>
          </w:tcPr>
          <w:p w14:paraId="100E58F3">
            <w:pPr>
              <w:widowControl/>
              <w:spacing w:line="360" w:lineRule="auto"/>
              <w:jc w:val="left"/>
              <w:rPr>
                <w:rFonts w:hint="eastAsia" w:ascii="宋体" w:hAnsi="宋体" w:cs="宋体"/>
                <w:szCs w:val="21"/>
              </w:rPr>
            </w:pPr>
            <w:r>
              <w:rPr>
                <w:rFonts w:hint="eastAsia" w:ascii="宋体" w:hAnsi="宋体" w:cs="宋体"/>
                <w:szCs w:val="21"/>
              </w:rPr>
              <w:t>进口品牌产品，酸性，针对聚酰胺反渗透膜、中空纤维膜以及钠滤（NF）和超滤（UF），pH值2-3，投加浓度为4～6％，可以与水以任意比例混溶</w:t>
            </w:r>
          </w:p>
        </w:tc>
        <w:tc>
          <w:tcPr>
            <w:tcW w:w="992" w:type="dxa"/>
            <w:vAlign w:val="center"/>
          </w:tcPr>
          <w:p w14:paraId="11770CC4">
            <w:pPr>
              <w:widowControl/>
              <w:spacing w:line="360" w:lineRule="auto"/>
              <w:jc w:val="center"/>
              <w:rPr>
                <w:rFonts w:hint="eastAsia" w:ascii="宋体" w:hAnsi="宋体" w:cs="宋体"/>
                <w:szCs w:val="21"/>
              </w:rPr>
            </w:pPr>
            <w:r>
              <w:rPr>
                <w:rFonts w:hint="eastAsia" w:ascii="宋体" w:hAnsi="宋体" w:cs="宋体"/>
                <w:szCs w:val="21"/>
              </w:rPr>
              <w:t>5吨</w:t>
            </w:r>
          </w:p>
        </w:tc>
        <w:tc>
          <w:tcPr>
            <w:tcW w:w="1559" w:type="dxa"/>
            <w:noWrap/>
            <w:vAlign w:val="center"/>
          </w:tcPr>
          <w:p w14:paraId="1F316E4E">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8793</w:t>
            </w:r>
          </w:p>
        </w:tc>
        <w:tc>
          <w:tcPr>
            <w:tcW w:w="1100" w:type="dxa"/>
            <w:vAlign w:val="center"/>
          </w:tcPr>
          <w:p w14:paraId="46617B88">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11A7B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188C3FC">
            <w:pPr>
              <w:widowControl/>
              <w:spacing w:line="360" w:lineRule="auto"/>
              <w:jc w:val="center"/>
              <w:rPr>
                <w:rFonts w:hint="eastAsia" w:ascii="宋体" w:hAnsi="宋体" w:cs="宋体"/>
                <w:szCs w:val="21"/>
              </w:rPr>
            </w:pPr>
            <w:r>
              <w:rPr>
                <w:rFonts w:hint="eastAsia" w:ascii="宋体" w:hAnsi="宋体" w:cs="宋体"/>
                <w:szCs w:val="21"/>
              </w:rPr>
              <w:t>7</w:t>
            </w:r>
          </w:p>
        </w:tc>
        <w:tc>
          <w:tcPr>
            <w:tcW w:w="1134" w:type="dxa"/>
            <w:vAlign w:val="center"/>
          </w:tcPr>
          <w:p w14:paraId="56D377E8">
            <w:pPr>
              <w:widowControl/>
              <w:spacing w:line="360" w:lineRule="auto"/>
              <w:jc w:val="center"/>
              <w:rPr>
                <w:rFonts w:hint="eastAsia" w:ascii="宋体" w:hAnsi="宋体" w:cs="宋体"/>
                <w:szCs w:val="21"/>
              </w:rPr>
            </w:pPr>
            <w:r>
              <w:rPr>
                <w:rFonts w:hint="eastAsia" w:ascii="宋体" w:hAnsi="宋体" w:cs="宋体"/>
                <w:szCs w:val="21"/>
              </w:rPr>
              <w:t>碱性膜清洗剂</w:t>
            </w:r>
          </w:p>
        </w:tc>
        <w:tc>
          <w:tcPr>
            <w:tcW w:w="3828" w:type="dxa"/>
            <w:vAlign w:val="center"/>
          </w:tcPr>
          <w:p w14:paraId="09ABE590">
            <w:pPr>
              <w:widowControl/>
              <w:spacing w:line="360" w:lineRule="auto"/>
              <w:jc w:val="left"/>
              <w:rPr>
                <w:rFonts w:hint="eastAsia" w:ascii="宋体" w:hAnsi="宋体" w:cs="宋体"/>
                <w:szCs w:val="21"/>
              </w:rPr>
            </w:pPr>
            <w:r>
              <w:rPr>
                <w:rFonts w:hint="eastAsia" w:ascii="宋体" w:hAnsi="宋体" w:cs="宋体"/>
                <w:szCs w:val="21"/>
              </w:rPr>
              <w:t>进口品牌产品，碱性，针对聚酰胺反渗透膜、中空纤维膜以及钠滤（NF）和超滤（UF），pH值10-12，投加浓度为4～6％，可以与水以任意比例混溶</w:t>
            </w:r>
          </w:p>
        </w:tc>
        <w:tc>
          <w:tcPr>
            <w:tcW w:w="992" w:type="dxa"/>
            <w:vAlign w:val="center"/>
          </w:tcPr>
          <w:p w14:paraId="22927678">
            <w:pPr>
              <w:widowControl/>
              <w:spacing w:line="360" w:lineRule="auto"/>
              <w:jc w:val="center"/>
              <w:rPr>
                <w:rFonts w:hint="eastAsia" w:ascii="宋体" w:hAnsi="宋体" w:cs="宋体"/>
                <w:szCs w:val="21"/>
              </w:rPr>
            </w:pPr>
            <w:r>
              <w:rPr>
                <w:rFonts w:hint="eastAsia" w:ascii="宋体" w:hAnsi="宋体" w:cs="宋体"/>
                <w:szCs w:val="21"/>
              </w:rPr>
              <w:t>5吨</w:t>
            </w:r>
          </w:p>
        </w:tc>
        <w:tc>
          <w:tcPr>
            <w:tcW w:w="1559" w:type="dxa"/>
            <w:noWrap/>
            <w:vAlign w:val="center"/>
          </w:tcPr>
          <w:p w14:paraId="67D79310">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8793</w:t>
            </w:r>
          </w:p>
        </w:tc>
        <w:tc>
          <w:tcPr>
            <w:tcW w:w="1100" w:type="dxa"/>
            <w:vAlign w:val="center"/>
          </w:tcPr>
          <w:p w14:paraId="5431B2DD">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7216C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9481D2C">
            <w:pPr>
              <w:widowControl/>
              <w:spacing w:line="360" w:lineRule="auto"/>
              <w:jc w:val="center"/>
              <w:rPr>
                <w:rFonts w:hint="eastAsia" w:ascii="宋体" w:hAnsi="宋体" w:cs="宋体"/>
                <w:szCs w:val="21"/>
              </w:rPr>
            </w:pPr>
            <w:r>
              <w:rPr>
                <w:rFonts w:hint="eastAsia" w:ascii="宋体" w:hAnsi="宋体" w:cs="宋体"/>
                <w:szCs w:val="21"/>
              </w:rPr>
              <w:t>8</w:t>
            </w:r>
          </w:p>
        </w:tc>
        <w:tc>
          <w:tcPr>
            <w:tcW w:w="1134" w:type="dxa"/>
            <w:shd w:val="clear" w:color="000000" w:fill="FFFFFF"/>
            <w:vAlign w:val="center"/>
          </w:tcPr>
          <w:p w14:paraId="0E9405EB">
            <w:pPr>
              <w:widowControl/>
              <w:spacing w:line="360" w:lineRule="auto"/>
              <w:jc w:val="center"/>
              <w:rPr>
                <w:rFonts w:hint="eastAsia" w:ascii="宋体" w:hAnsi="宋体" w:cs="宋体"/>
                <w:szCs w:val="21"/>
              </w:rPr>
            </w:pPr>
            <w:r>
              <w:rPr>
                <w:rFonts w:hint="eastAsia" w:ascii="宋体" w:hAnsi="宋体" w:cs="宋体"/>
                <w:szCs w:val="21"/>
              </w:rPr>
              <w:t>磷酸三钠</w:t>
            </w:r>
          </w:p>
        </w:tc>
        <w:tc>
          <w:tcPr>
            <w:tcW w:w="3828" w:type="dxa"/>
            <w:vAlign w:val="center"/>
          </w:tcPr>
          <w:p w14:paraId="5FB3AF2F">
            <w:pPr>
              <w:widowControl/>
              <w:spacing w:line="360" w:lineRule="auto"/>
              <w:jc w:val="left"/>
              <w:rPr>
                <w:rFonts w:hint="eastAsia" w:ascii="宋体" w:hAnsi="宋体" w:cs="宋体"/>
                <w:szCs w:val="21"/>
              </w:rPr>
            </w:pPr>
            <w:r>
              <w:rPr>
                <w:rFonts w:hint="eastAsia" w:ascii="宋体" w:hAnsi="宋体" w:cs="宋体"/>
                <w:szCs w:val="21"/>
              </w:rPr>
              <w:t>固体粉末，有效含量98%以上，不溶物含量小于0.10%，氯化物小于0.40%，硫酸盐小于0.50%，砷小于0.005%，铁小于0.01%</w:t>
            </w:r>
          </w:p>
        </w:tc>
        <w:tc>
          <w:tcPr>
            <w:tcW w:w="992" w:type="dxa"/>
            <w:vAlign w:val="center"/>
          </w:tcPr>
          <w:p w14:paraId="0B547B5D">
            <w:pPr>
              <w:widowControl/>
              <w:spacing w:line="360" w:lineRule="auto"/>
              <w:jc w:val="center"/>
              <w:rPr>
                <w:rFonts w:hint="eastAsia" w:ascii="宋体" w:hAnsi="宋体" w:cs="宋体"/>
                <w:szCs w:val="21"/>
              </w:rPr>
            </w:pPr>
            <w:r>
              <w:rPr>
                <w:rFonts w:hint="eastAsia" w:ascii="宋体" w:hAnsi="宋体" w:cs="宋体"/>
                <w:szCs w:val="21"/>
              </w:rPr>
              <w:t>3吨</w:t>
            </w:r>
          </w:p>
        </w:tc>
        <w:tc>
          <w:tcPr>
            <w:tcW w:w="1559" w:type="dxa"/>
            <w:noWrap/>
            <w:vAlign w:val="center"/>
          </w:tcPr>
          <w:p w14:paraId="430D57BB">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1380</w:t>
            </w:r>
          </w:p>
        </w:tc>
        <w:tc>
          <w:tcPr>
            <w:tcW w:w="1100" w:type="dxa"/>
            <w:noWrap/>
            <w:vAlign w:val="center"/>
          </w:tcPr>
          <w:p w14:paraId="71EB7C91">
            <w:pPr>
              <w:widowControl/>
              <w:spacing w:line="360" w:lineRule="auto"/>
              <w:jc w:val="center"/>
              <w:rPr>
                <w:rFonts w:hint="eastAsia" w:ascii="宋体" w:hAnsi="宋体" w:cs="宋体"/>
                <w:szCs w:val="21"/>
              </w:rPr>
            </w:pPr>
            <w:r>
              <w:rPr>
                <w:rFonts w:hint="eastAsia" w:ascii="宋体" w:hAnsi="宋体" w:cs="宋体"/>
                <w:szCs w:val="21"/>
              </w:rPr>
              <w:t>　</w:t>
            </w:r>
          </w:p>
        </w:tc>
      </w:tr>
      <w:tr w14:paraId="50109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shd w:val="clear" w:color="000000" w:fill="FFFFFF"/>
            <w:vAlign w:val="center"/>
          </w:tcPr>
          <w:p w14:paraId="6FB00DDC">
            <w:pPr>
              <w:widowControl/>
              <w:spacing w:line="360" w:lineRule="auto"/>
              <w:jc w:val="left"/>
              <w:rPr>
                <w:rFonts w:hint="eastAsia" w:ascii="宋体" w:hAnsi="宋体" w:cs="宋体"/>
                <w:szCs w:val="21"/>
              </w:rPr>
            </w:pPr>
            <w:r>
              <w:rPr>
                <w:rFonts w:hint="eastAsia" w:ascii="宋体" w:hAnsi="宋体" w:cs="宋体"/>
                <w:szCs w:val="21"/>
              </w:rPr>
              <w:t>3、工业废水投加及膜设备药剂</w:t>
            </w:r>
          </w:p>
        </w:tc>
      </w:tr>
      <w:tr w14:paraId="2F012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275D18EE">
            <w:pPr>
              <w:widowControl/>
              <w:spacing w:line="360" w:lineRule="auto"/>
              <w:jc w:val="center"/>
              <w:rPr>
                <w:rFonts w:hint="eastAsia" w:ascii="宋体" w:hAnsi="宋体" w:cs="宋体"/>
                <w:szCs w:val="21"/>
              </w:rPr>
            </w:pPr>
            <w:r>
              <w:rPr>
                <w:rFonts w:hint="eastAsia" w:ascii="宋体" w:hAnsi="宋体" w:cs="宋体"/>
                <w:szCs w:val="21"/>
              </w:rPr>
              <w:t>1</w:t>
            </w:r>
          </w:p>
        </w:tc>
        <w:tc>
          <w:tcPr>
            <w:tcW w:w="1134" w:type="dxa"/>
            <w:vAlign w:val="center"/>
          </w:tcPr>
          <w:p w14:paraId="3992363B">
            <w:pPr>
              <w:widowControl/>
              <w:spacing w:line="360" w:lineRule="auto"/>
              <w:jc w:val="center"/>
              <w:rPr>
                <w:rFonts w:hint="eastAsia" w:ascii="宋体" w:hAnsi="宋体" w:cs="宋体"/>
                <w:szCs w:val="21"/>
              </w:rPr>
            </w:pPr>
            <w:r>
              <w:rPr>
                <w:rFonts w:hint="eastAsia" w:ascii="宋体" w:hAnsi="宋体" w:cs="宋体"/>
                <w:szCs w:val="21"/>
              </w:rPr>
              <w:t>螯合剂</w:t>
            </w:r>
          </w:p>
        </w:tc>
        <w:tc>
          <w:tcPr>
            <w:tcW w:w="3828" w:type="dxa"/>
            <w:vAlign w:val="center"/>
          </w:tcPr>
          <w:p w14:paraId="3937521F">
            <w:pPr>
              <w:widowControl/>
              <w:spacing w:line="360" w:lineRule="auto"/>
              <w:jc w:val="left"/>
              <w:rPr>
                <w:rFonts w:hint="eastAsia" w:ascii="宋体" w:hAnsi="宋体" w:cs="宋体"/>
                <w:szCs w:val="21"/>
              </w:rPr>
            </w:pPr>
            <w:r>
              <w:rPr>
                <w:rFonts w:hint="eastAsia" w:ascii="宋体" w:hAnsi="宋体" w:cs="宋体"/>
                <w:szCs w:val="21"/>
              </w:rPr>
              <w:t>有效含量50%，沉淀捕捉速度3-5S/m³，螯合容量≥1.0mmolCu/g，可以用于去除Hg+、Cd2+、Cu2+、Pb2+、Mn2-、Ni2+、Cr3+、Cr6+、Zn2+、As3+等金属离子，包装：20或25kg/桶</w:t>
            </w:r>
          </w:p>
        </w:tc>
        <w:tc>
          <w:tcPr>
            <w:tcW w:w="992" w:type="dxa"/>
            <w:vAlign w:val="center"/>
          </w:tcPr>
          <w:p w14:paraId="1A563D31">
            <w:pPr>
              <w:widowControl/>
              <w:spacing w:line="360" w:lineRule="auto"/>
              <w:jc w:val="center"/>
              <w:rPr>
                <w:rFonts w:hint="eastAsia" w:ascii="宋体" w:hAnsi="宋体" w:cs="宋体"/>
                <w:szCs w:val="21"/>
              </w:rPr>
            </w:pPr>
            <w:r>
              <w:rPr>
                <w:rFonts w:hint="eastAsia" w:ascii="宋体" w:hAnsi="宋体" w:cs="宋体"/>
                <w:szCs w:val="21"/>
              </w:rPr>
              <w:t>8吨</w:t>
            </w:r>
          </w:p>
        </w:tc>
        <w:tc>
          <w:tcPr>
            <w:tcW w:w="1559" w:type="dxa"/>
            <w:noWrap/>
            <w:vAlign w:val="center"/>
          </w:tcPr>
          <w:p w14:paraId="797630AD">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298</w:t>
            </w:r>
          </w:p>
        </w:tc>
        <w:tc>
          <w:tcPr>
            <w:tcW w:w="1100" w:type="dxa"/>
            <w:vAlign w:val="center"/>
          </w:tcPr>
          <w:p w14:paraId="46365FAC">
            <w:pPr>
              <w:widowControl/>
              <w:spacing w:line="360" w:lineRule="auto"/>
              <w:jc w:val="center"/>
              <w:rPr>
                <w:rFonts w:hint="eastAsia" w:ascii="宋体" w:hAnsi="宋体" w:cs="宋体"/>
                <w:szCs w:val="21"/>
              </w:rPr>
            </w:pPr>
            <w:r>
              <w:rPr>
                <w:rFonts w:hint="eastAsia" w:ascii="宋体" w:hAnsi="宋体" w:cs="宋体"/>
                <w:szCs w:val="21"/>
              </w:rPr>
              <w:t>　</w:t>
            </w:r>
          </w:p>
        </w:tc>
      </w:tr>
      <w:tr w14:paraId="4C160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5A8F6EFE">
            <w:pPr>
              <w:widowControl/>
              <w:spacing w:line="360" w:lineRule="auto"/>
              <w:jc w:val="center"/>
              <w:rPr>
                <w:rFonts w:hint="eastAsia" w:ascii="宋体" w:hAnsi="宋体" w:cs="宋体"/>
                <w:szCs w:val="21"/>
              </w:rPr>
            </w:pPr>
            <w:r>
              <w:rPr>
                <w:rFonts w:hint="eastAsia" w:ascii="宋体" w:hAnsi="宋体" w:cs="宋体"/>
                <w:szCs w:val="21"/>
              </w:rPr>
              <w:t>2</w:t>
            </w:r>
          </w:p>
        </w:tc>
        <w:tc>
          <w:tcPr>
            <w:tcW w:w="1134" w:type="dxa"/>
            <w:vAlign w:val="center"/>
          </w:tcPr>
          <w:p w14:paraId="4BA1FFBB">
            <w:pPr>
              <w:widowControl/>
              <w:spacing w:line="360" w:lineRule="auto"/>
              <w:jc w:val="center"/>
              <w:rPr>
                <w:rFonts w:hint="eastAsia" w:ascii="宋体" w:hAnsi="宋体" w:cs="宋体"/>
                <w:szCs w:val="21"/>
              </w:rPr>
            </w:pPr>
            <w:r>
              <w:rPr>
                <w:rFonts w:hint="eastAsia" w:ascii="宋体" w:hAnsi="宋体" w:cs="宋体"/>
                <w:szCs w:val="21"/>
              </w:rPr>
              <w:t>混凝剂（PAC）</w:t>
            </w:r>
          </w:p>
        </w:tc>
        <w:tc>
          <w:tcPr>
            <w:tcW w:w="3828" w:type="dxa"/>
            <w:vAlign w:val="center"/>
          </w:tcPr>
          <w:p w14:paraId="20DC93A2">
            <w:pPr>
              <w:widowControl/>
              <w:spacing w:line="360" w:lineRule="auto"/>
              <w:jc w:val="left"/>
              <w:rPr>
                <w:rFonts w:hint="eastAsia" w:ascii="宋体" w:hAnsi="宋体" w:cs="宋体"/>
                <w:szCs w:val="21"/>
              </w:rPr>
            </w:pPr>
            <w:r>
              <w:rPr>
                <w:rFonts w:hint="eastAsia" w:ascii="宋体" w:hAnsi="宋体" w:cs="宋体"/>
                <w:szCs w:val="21"/>
              </w:rPr>
              <w:t>氧化铝（AL2O3）的质量分数／％≥30；盐基度/% 40.0-90.0；不溶物的质量分数≤0.6；PH值（10g/L水溶液）3.5-5.0；砷（AS）的质量分数/%≤0.0002；铅（Pb）的质量分数/%　≤0.001；镉（Cd）的质量分数/%≤0.0002；汞 (Hg)的质量分数/%≤0.00001；六价铬（Cr+5）的质量分数/%≤0.0005</w:t>
            </w:r>
          </w:p>
        </w:tc>
        <w:tc>
          <w:tcPr>
            <w:tcW w:w="992" w:type="dxa"/>
            <w:vAlign w:val="center"/>
          </w:tcPr>
          <w:p w14:paraId="49187A81">
            <w:pPr>
              <w:widowControl/>
              <w:spacing w:line="360" w:lineRule="auto"/>
              <w:jc w:val="center"/>
              <w:rPr>
                <w:rFonts w:hint="eastAsia" w:ascii="宋体" w:hAnsi="宋体" w:cs="宋体"/>
                <w:szCs w:val="21"/>
              </w:rPr>
            </w:pPr>
            <w:r>
              <w:rPr>
                <w:rFonts w:hint="eastAsia" w:ascii="宋体" w:hAnsi="宋体" w:cs="宋体"/>
                <w:szCs w:val="21"/>
              </w:rPr>
              <w:t>2吨</w:t>
            </w:r>
          </w:p>
        </w:tc>
        <w:tc>
          <w:tcPr>
            <w:tcW w:w="1559" w:type="dxa"/>
            <w:noWrap/>
            <w:vAlign w:val="center"/>
          </w:tcPr>
          <w:p w14:paraId="4B2079BC">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1380</w:t>
            </w:r>
          </w:p>
        </w:tc>
        <w:tc>
          <w:tcPr>
            <w:tcW w:w="1100" w:type="dxa"/>
            <w:noWrap/>
            <w:vAlign w:val="center"/>
          </w:tcPr>
          <w:p w14:paraId="37EAF717">
            <w:pPr>
              <w:widowControl/>
              <w:spacing w:line="360" w:lineRule="auto"/>
              <w:jc w:val="center"/>
              <w:rPr>
                <w:rFonts w:hint="eastAsia" w:ascii="宋体" w:hAnsi="宋体" w:cs="宋体"/>
                <w:szCs w:val="21"/>
              </w:rPr>
            </w:pPr>
            <w:r>
              <w:rPr>
                <w:rFonts w:hint="eastAsia" w:ascii="宋体" w:hAnsi="宋体" w:cs="宋体"/>
                <w:szCs w:val="21"/>
              </w:rPr>
              <w:t>　</w:t>
            </w:r>
          </w:p>
        </w:tc>
      </w:tr>
      <w:tr w14:paraId="68B9FE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03FF3C43">
            <w:pPr>
              <w:widowControl/>
              <w:spacing w:line="360" w:lineRule="auto"/>
              <w:jc w:val="center"/>
              <w:rPr>
                <w:rFonts w:hint="eastAsia" w:ascii="宋体" w:hAnsi="宋体" w:cs="宋体"/>
                <w:szCs w:val="21"/>
              </w:rPr>
            </w:pPr>
            <w:r>
              <w:rPr>
                <w:rFonts w:hint="eastAsia" w:ascii="宋体" w:hAnsi="宋体" w:cs="宋体"/>
                <w:szCs w:val="21"/>
              </w:rPr>
              <w:t>3</w:t>
            </w:r>
          </w:p>
        </w:tc>
        <w:tc>
          <w:tcPr>
            <w:tcW w:w="1134" w:type="dxa"/>
            <w:vAlign w:val="center"/>
          </w:tcPr>
          <w:p w14:paraId="71B79055">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2A28FD59">
            <w:pPr>
              <w:widowControl/>
              <w:spacing w:line="360" w:lineRule="auto"/>
              <w:jc w:val="left"/>
              <w:rPr>
                <w:rFonts w:hint="eastAsia" w:ascii="宋体" w:hAnsi="宋体" w:cs="宋体"/>
                <w:szCs w:val="21"/>
              </w:rPr>
            </w:pPr>
            <w:r>
              <w:rPr>
                <w:rFonts w:hint="eastAsia" w:ascii="宋体" w:hAnsi="宋体" w:cs="宋体"/>
                <w:szCs w:val="21"/>
              </w:rPr>
              <w:t>阴离子聚丙烯酰胺，外观为白色粉末，分子量1000万-2000万，</w:t>
            </w:r>
          </w:p>
          <w:p w14:paraId="018C0B8A">
            <w:pPr>
              <w:widowControl/>
              <w:spacing w:line="360" w:lineRule="auto"/>
              <w:jc w:val="left"/>
              <w:rPr>
                <w:rFonts w:hint="eastAsia" w:ascii="宋体" w:hAnsi="宋体" w:cs="宋体"/>
                <w:szCs w:val="21"/>
              </w:rPr>
            </w:pPr>
            <w:r>
              <w:rPr>
                <w:rFonts w:hint="eastAsia" w:ascii="宋体" w:hAnsi="宋体" w:cs="宋体"/>
                <w:szCs w:val="21"/>
              </w:rPr>
              <w:t>包装：25kg/袋，固含量（固体）／％≥86.0；丙烯酰胺单体含量（干基）／％≤0.05；溶解时间（阴离子型）/min≤60；溶解时间（非离子型）/min≤90；筛余物（1.00mm筛网）／％≤2；筛余物（180um筛网）／％≥80.0；水不溶物／％≤0.3；氯化物含量／％≤0.5；硫酸盐含量／％≤2.0</w:t>
            </w:r>
          </w:p>
        </w:tc>
        <w:tc>
          <w:tcPr>
            <w:tcW w:w="992" w:type="dxa"/>
            <w:vAlign w:val="center"/>
          </w:tcPr>
          <w:p w14:paraId="74A35631">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392E8452">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2377</w:t>
            </w:r>
          </w:p>
        </w:tc>
        <w:tc>
          <w:tcPr>
            <w:tcW w:w="1100" w:type="dxa"/>
            <w:vAlign w:val="center"/>
          </w:tcPr>
          <w:p w14:paraId="4897202B">
            <w:pPr>
              <w:widowControl/>
              <w:spacing w:line="360" w:lineRule="auto"/>
              <w:jc w:val="center"/>
              <w:rPr>
                <w:rFonts w:hint="eastAsia" w:ascii="宋体" w:hAnsi="宋体" w:cs="宋体"/>
                <w:szCs w:val="21"/>
              </w:rPr>
            </w:pPr>
          </w:p>
        </w:tc>
      </w:tr>
      <w:tr w14:paraId="2057C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42621ED2">
            <w:pPr>
              <w:widowControl/>
              <w:spacing w:line="360" w:lineRule="auto"/>
              <w:jc w:val="center"/>
              <w:rPr>
                <w:rFonts w:hint="eastAsia" w:ascii="宋体" w:hAnsi="宋体" w:cs="宋体"/>
                <w:szCs w:val="21"/>
              </w:rPr>
            </w:pPr>
            <w:r>
              <w:rPr>
                <w:rFonts w:hint="eastAsia" w:ascii="宋体" w:hAnsi="宋体" w:cs="宋体"/>
                <w:szCs w:val="21"/>
              </w:rPr>
              <w:t>4</w:t>
            </w:r>
          </w:p>
        </w:tc>
        <w:tc>
          <w:tcPr>
            <w:tcW w:w="1134" w:type="dxa"/>
            <w:vAlign w:val="center"/>
          </w:tcPr>
          <w:p w14:paraId="494530DC">
            <w:pPr>
              <w:widowControl/>
              <w:spacing w:line="360" w:lineRule="auto"/>
              <w:jc w:val="center"/>
              <w:rPr>
                <w:rFonts w:hint="eastAsia" w:ascii="宋体" w:hAnsi="宋体" w:cs="宋体"/>
                <w:szCs w:val="21"/>
              </w:rPr>
            </w:pPr>
            <w:r>
              <w:rPr>
                <w:rFonts w:hint="eastAsia" w:ascii="宋体" w:hAnsi="宋体" w:cs="宋体"/>
                <w:szCs w:val="21"/>
              </w:rPr>
              <w:t>氯化钙</w:t>
            </w:r>
          </w:p>
        </w:tc>
        <w:tc>
          <w:tcPr>
            <w:tcW w:w="3828" w:type="dxa"/>
            <w:vAlign w:val="center"/>
          </w:tcPr>
          <w:p w14:paraId="7E704834">
            <w:pPr>
              <w:widowControl/>
              <w:spacing w:line="360" w:lineRule="auto"/>
              <w:jc w:val="left"/>
              <w:rPr>
                <w:rFonts w:hint="eastAsia" w:ascii="宋体" w:hAnsi="宋体" w:cs="宋体"/>
                <w:szCs w:val="21"/>
              </w:rPr>
            </w:pPr>
            <w:r>
              <w:rPr>
                <w:rFonts w:hint="eastAsia" w:ascii="宋体" w:hAnsi="宋体" w:cs="宋体"/>
                <w:szCs w:val="21"/>
              </w:rPr>
              <w:t>工业级，外观为白色片状，水合物，包装：25kg/袋</w:t>
            </w:r>
          </w:p>
        </w:tc>
        <w:tc>
          <w:tcPr>
            <w:tcW w:w="992" w:type="dxa"/>
            <w:vAlign w:val="center"/>
          </w:tcPr>
          <w:p w14:paraId="348EDC64">
            <w:pPr>
              <w:widowControl/>
              <w:spacing w:line="360" w:lineRule="auto"/>
              <w:jc w:val="center"/>
              <w:rPr>
                <w:rFonts w:hint="eastAsia" w:ascii="宋体" w:hAnsi="宋体" w:cs="宋体"/>
                <w:szCs w:val="21"/>
              </w:rPr>
            </w:pPr>
            <w:r>
              <w:rPr>
                <w:rFonts w:hint="eastAsia" w:ascii="宋体" w:hAnsi="宋体" w:cs="宋体"/>
                <w:szCs w:val="21"/>
              </w:rPr>
              <w:t>3吨</w:t>
            </w:r>
          </w:p>
        </w:tc>
        <w:tc>
          <w:tcPr>
            <w:tcW w:w="1559" w:type="dxa"/>
            <w:noWrap/>
            <w:vAlign w:val="center"/>
          </w:tcPr>
          <w:p w14:paraId="67A9B893">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293</w:t>
            </w:r>
          </w:p>
        </w:tc>
        <w:tc>
          <w:tcPr>
            <w:tcW w:w="1100" w:type="dxa"/>
            <w:vAlign w:val="center"/>
          </w:tcPr>
          <w:p w14:paraId="751ACDD8">
            <w:pPr>
              <w:widowControl/>
              <w:spacing w:line="360" w:lineRule="auto"/>
              <w:jc w:val="center"/>
              <w:rPr>
                <w:rFonts w:hint="eastAsia" w:ascii="宋体" w:hAnsi="宋体" w:cs="宋体"/>
                <w:szCs w:val="21"/>
              </w:rPr>
            </w:pPr>
          </w:p>
        </w:tc>
      </w:tr>
      <w:tr w14:paraId="2F932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378848F">
            <w:pPr>
              <w:widowControl/>
              <w:spacing w:line="360" w:lineRule="auto"/>
              <w:jc w:val="center"/>
              <w:rPr>
                <w:rFonts w:hint="eastAsia" w:ascii="宋体" w:hAnsi="宋体" w:cs="宋体"/>
                <w:szCs w:val="21"/>
              </w:rPr>
            </w:pPr>
            <w:r>
              <w:rPr>
                <w:rFonts w:hint="eastAsia" w:ascii="宋体" w:hAnsi="宋体" w:cs="宋体"/>
                <w:szCs w:val="21"/>
              </w:rPr>
              <w:t>5</w:t>
            </w:r>
          </w:p>
        </w:tc>
        <w:tc>
          <w:tcPr>
            <w:tcW w:w="1134" w:type="dxa"/>
            <w:vAlign w:val="center"/>
          </w:tcPr>
          <w:p w14:paraId="21825172">
            <w:pPr>
              <w:widowControl/>
              <w:spacing w:line="360" w:lineRule="auto"/>
              <w:jc w:val="center"/>
              <w:rPr>
                <w:rFonts w:hint="eastAsia" w:ascii="宋体" w:hAnsi="宋体" w:cs="宋体"/>
                <w:szCs w:val="21"/>
              </w:rPr>
            </w:pPr>
            <w:r>
              <w:rPr>
                <w:rFonts w:hint="eastAsia" w:ascii="宋体" w:hAnsi="宋体" w:cs="宋体"/>
                <w:szCs w:val="21"/>
              </w:rPr>
              <w:t>碳酸钠（纯碱）</w:t>
            </w:r>
          </w:p>
        </w:tc>
        <w:tc>
          <w:tcPr>
            <w:tcW w:w="3828" w:type="dxa"/>
            <w:vAlign w:val="center"/>
          </w:tcPr>
          <w:p w14:paraId="1F7B40AF">
            <w:pPr>
              <w:widowControl/>
              <w:spacing w:line="360" w:lineRule="auto"/>
              <w:jc w:val="left"/>
              <w:rPr>
                <w:rFonts w:hint="eastAsia" w:ascii="宋体" w:hAnsi="宋体" w:cs="宋体"/>
                <w:szCs w:val="21"/>
              </w:rPr>
            </w:pPr>
            <w:r>
              <w:rPr>
                <w:rFonts w:hint="eastAsia" w:ascii="宋体" w:hAnsi="宋体" w:cs="宋体"/>
                <w:szCs w:val="21"/>
              </w:rPr>
              <w:t>工业级，白色粉末，有效含量≥99%</w:t>
            </w:r>
          </w:p>
        </w:tc>
        <w:tc>
          <w:tcPr>
            <w:tcW w:w="992" w:type="dxa"/>
            <w:vAlign w:val="center"/>
          </w:tcPr>
          <w:p w14:paraId="566D2AE0">
            <w:pPr>
              <w:widowControl/>
              <w:spacing w:line="360" w:lineRule="auto"/>
              <w:jc w:val="center"/>
              <w:rPr>
                <w:rFonts w:hint="eastAsia" w:ascii="宋体" w:hAnsi="宋体" w:cs="宋体"/>
                <w:szCs w:val="21"/>
              </w:rPr>
            </w:pPr>
            <w:r>
              <w:rPr>
                <w:rFonts w:hint="eastAsia" w:ascii="宋体" w:hAnsi="宋体" w:cs="宋体"/>
                <w:szCs w:val="21"/>
              </w:rPr>
              <w:t>3吨</w:t>
            </w:r>
          </w:p>
        </w:tc>
        <w:tc>
          <w:tcPr>
            <w:tcW w:w="1559" w:type="dxa"/>
            <w:noWrap/>
            <w:vAlign w:val="center"/>
          </w:tcPr>
          <w:p w14:paraId="3512C125">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2350</w:t>
            </w:r>
          </w:p>
        </w:tc>
        <w:tc>
          <w:tcPr>
            <w:tcW w:w="1100" w:type="dxa"/>
            <w:vAlign w:val="center"/>
          </w:tcPr>
          <w:p w14:paraId="2B888641">
            <w:pPr>
              <w:widowControl/>
              <w:spacing w:line="360" w:lineRule="auto"/>
              <w:jc w:val="center"/>
              <w:rPr>
                <w:rFonts w:hint="eastAsia" w:ascii="宋体" w:hAnsi="宋体" w:cs="宋体"/>
                <w:szCs w:val="21"/>
              </w:rPr>
            </w:pPr>
          </w:p>
        </w:tc>
      </w:tr>
      <w:tr w14:paraId="0B150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C7DEB9C">
            <w:pPr>
              <w:widowControl/>
              <w:spacing w:line="360" w:lineRule="auto"/>
              <w:jc w:val="center"/>
              <w:rPr>
                <w:rFonts w:hint="eastAsia" w:ascii="宋体" w:hAnsi="宋体" w:cs="宋体"/>
                <w:szCs w:val="21"/>
              </w:rPr>
            </w:pPr>
            <w:r>
              <w:rPr>
                <w:rFonts w:hint="eastAsia" w:ascii="宋体" w:hAnsi="宋体" w:cs="宋体"/>
                <w:szCs w:val="21"/>
              </w:rPr>
              <w:t>6</w:t>
            </w:r>
          </w:p>
        </w:tc>
        <w:tc>
          <w:tcPr>
            <w:tcW w:w="1134" w:type="dxa"/>
            <w:vAlign w:val="center"/>
          </w:tcPr>
          <w:p w14:paraId="45C4A1C1">
            <w:pPr>
              <w:widowControl/>
              <w:spacing w:line="360" w:lineRule="auto"/>
              <w:jc w:val="center"/>
              <w:rPr>
                <w:rFonts w:hint="eastAsia" w:ascii="宋体" w:hAnsi="宋体" w:cs="宋体"/>
                <w:szCs w:val="21"/>
              </w:rPr>
            </w:pPr>
            <w:r>
              <w:rPr>
                <w:rFonts w:hint="eastAsia" w:ascii="宋体" w:hAnsi="宋体" w:cs="宋体"/>
                <w:szCs w:val="21"/>
              </w:rPr>
              <w:t>阻垢剂</w:t>
            </w:r>
          </w:p>
        </w:tc>
        <w:tc>
          <w:tcPr>
            <w:tcW w:w="3828" w:type="dxa"/>
            <w:vAlign w:val="center"/>
          </w:tcPr>
          <w:p w14:paraId="237E3A0A">
            <w:pPr>
              <w:widowControl/>
              <w:spacing w:line="360" w:lineRule="auto"/>
              <w:jc w:val="left"/>
              <w:rPr>
                <w:rFonts w:hint="eastAsia" w:ascii="宋体" w:hAnsi="宋体" w:cs="宋体"/>
                <w:szCs w:val="21"/>
              </w:rPr>
            </w:pPr>
            <w:r>
              <w:rPr>
                <w:rFonts w:hint="eastAsia" w:ascii="宋体" w:hAnsi="宋体" w:cs="宋体"/>
                <w:szCs w:val="21"/>
              </w:rPr>
              <w:t>进口品牌产品，适用于PVDF膜废水处理中。所生产的药剂需提供膜厂家兼容性的认证证书，(1-羧基乙叉)双膦酸钠盐：10～30%)</w:t>
            </w:r>
          </w:p>
        </w:tc>
        <w:tc>
          <w:tcPr>
            <w:tcW w:w="992" w:type="dxa"/>
            <w:vAlign w:val="center"/>
          </w:tcPr>
          <w:p w14:paraId="3C854BB4">
            <w:pPr>
              <w:widowControl/>
              <w:spacing w:line="360" w:lineRule="auto"/>
              <w:jc w:val="center"/>
              <w:rPr>
                <w:rFonts w:hint="eastAsia" w:ascii="宋体" w:hAnsi="宋体" w:cs="宋体"/>
                <w:szCs w:val="21"/>
              </w:rPr>
            </w:pPr>
            <w:r>
              <w:rPr>
                <w:rFonts w:hint="eastAsia" w:ascii="宋体" w:hAnsi="宋体" w:cs="宋体"/>
                <w:szCs w:val="21"/>
              </w:rPr>
              <w:t>2吨</w:t>
            </w:r>
          </w:p>
        </w:tc>
        <w:tc>
          <w:tcPr>
            <w:tcW w:w="1559" w:type="dxa"/>
            <w:noWrap/>
            <w:vAlign w:val="center"/>
          </w:tcPr>
          <w:p w14:paraId="60B60976">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13383</w:t>
            </w:r>
          </w:p>
        </w:tc>
        <w:tc>
          <w:tcPr>
            <w:tcW w:w="1100" w:type="dxa"/>
            <w:vAlign w:val="center"/>
          </w:tcPr>
          <w:p w14:paraId="4295E23D">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362CC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40BA0707">
            <w:pPr>
              <w:widowControl/>
              <w:spacing w:line="360" w:lineRule="auto"/>
              <w:jc w:val="center"/>
              <w:rPr>
                <w:rFonts w:hint="eastAsia" w:ascii="宋体" w:hAnsi="宋体" w:cs="宋体"/>
                <w:szCs w:val="21"/>
              </w:rPr>
            </w:pPr>
            <w:r>
              <w:rPr>
                <w:rFonts w:hint="eastAsia" w:ascii="宋体" w:hAnsi="宋体" w:cs="宋体"/>
                <w:szCs w:val="21"/>
              </w:rPr>
              <w:t>7</w:t>
            </w:r>
          </w:p>
        </w:tc>
        <w:tc>
          <w:tcPr>
            <w:tcW w:w="1134" w:type="dxa"/>
            <w:vAlign w:val="center"/>
          </w:tcPr>
          <w:p w14:paraId="3BAC7FB2">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63AB9592">
            <w:pPr>
              <w:widowControl/>
              <w:spacing w:line="360" w:lineRule="auto"/>
              <w:jc w:val="left"/>
              <w:rPr>
                <w:rFonts w:hint="eastAsia" w:ascii="宋体" w:hAnsi="宋体" w:cs="宋体"/>
                <w:szCs w:val="21"/>
              </w:rPr>
            </w:pPr>
            <w:r>
              <w:rPr>
                <w:rFonts w:hint="eastAsia" w:ascii="宋体" w:hAnsi="宋体" w:cs="宋体"/>
                <w:szCs w:val="21"/>
              </w:rPr>
              <w:t>阳离子聚丙烯酰胺，外观为白色粉粒，分子量1000万-1200万，包装：25 kg/袋，相对分子质量≥100×104；固含量（固体）／％≥85；阳离子度/% 70；丙烯酰胺单体含量（干基）／％≤0.1；溶解时间（1g/L）/min≤60；筛余物（1.40mm筛网）／％≤5；筛余物（180um筛网）／％≥80.0；水不溶物／％≤0.5；氯化物含量／％≤0.08；硫酸盐含量／％≤0.05，（污泥脱水药剂，需要先送样品，做试验，根据效果而定）</w:t>
            </w:r>
          </w:p>
        </w:tc>
        <w:tc>
          <w:tcPr>
            <w:tcW w:w="992" w:type="dxa"/>
            <w:vAlign w:val="center"/>
          </w:tcPr>
          <w:p w14:paraId="4895EDF0">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3AD5D93E">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7500</w:t>
            </w:r>
          </w:p>
        </w:tc>
        <w:tc>
          <w:tcPr>
            <w:tcW w:w="1100" w:type="dxa"/>
            <w:vAlign w:val="center"/>
          </w:tcPr>
          <w:p w14:paraId="38FBFD2F">
            <w:pPr>
              <w:widowControl/>
              <w:spacing w:line="360" w:lineRule="auto"/>
              <w:jc w:val="center"/>
              <w:rPr>
                <w:rFonts w:hint="eastAsia" w:ascii="宋体" w:hAnsi="宋体" w:cs="宋体"/>
                <w:szCs w:val="21"/>
              </w:rPr>
            </w:pPr>
          </w:p>
        </w:tc>
      </w:tr>
      <w:tr w14:paraId="10ED8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702F1851">
            <w:pPr>
              <w:widowControl/>
              <w:spacing w:line="360" w:lineRule="auto"/>
              <w:jc w:val="center"/>
              <w:rPr>
                <w:rFonts w:hint="eastAsia" w:ascii="宋体" w:hAnsi="宋体" w:cs="宋体"/>
                <w:szCs w:val="21"/>
              </w:rPr>
            </w:pPr>
            <w:r>
              <w:rPr>
                <w:rFonts w:hint="eastAsia" w:ascii="宋体" w:hAnsi="宋体" w:cs="宋体"/>
                <w:szCs w:val="21"/>
              </w:rPr>
              <w:t>8</w:t>
            </w:r>
          </w:p>
        </w:tc>
        <w:tc>
          <w:tcPr>
            <w:tcW w:w="1134" w:type="dxa"/>
            <w:vAlign w:val="center"/>
          </w:tcPr>
          <w:p w14:paraId="59C4BCC2">
            <w:pPr>
              <w:widowControl/>
              <w:spacing w:line="360" w:lineRule="auto"/>
              <w:jc w:val="center"/>
              <w:rPr>
                <w:rFonts w:hint="eastAsia" w:ascii="宋体" w:hAnsi="宋体" w:cs="宋体"/>
                <w:szCs w:val="21"/>
              </w:rPr>
            </w:pPr>
            <w:r>
              <w:rPr>
                <w:rFonts w:hint="eastAsia" w:ascii="宋体" w:hAnsi="宋体" w:cs="宋体"/>
                <w:szCs w:val="21"/>
              </w:rPr>
              <w:t>酸性膜清洗剂</w:t>
            </w:r>
          </w:p>
        </w:tc>
        <w:tc>
          <w:tcPr>
            <w:tcW w:w="3828" w:type="dxa"/>
            <w:vAlign w:val="center"/>
          </w:tcPr>
          <w:p w14:paraId="6B8A3684">
            <w:pPr>
              <w:widowControl/>
              <w:spacing w:line="360" w:lineRule="auto"/>
              <w:jc w:val="left"/>
              <w:rPr>
                <w:rFonts w:hint="eastAsia" w:ascii="宋体" w:hAnsi="宋体" w:cs="宋体"/>
                <w:szCs w:val="21"/>
              </w:rPr>
            </w:pPr>
            <w:r>
              <w:rPr>
                <w:rFonts w:hint="eastAsia" w:ascii="宋体" w:hAnsi="宋体" w:cs="宋体"/>
                <w:szCs w:val="21"/>
              </w:rPr>
              <w:t>进口品牌产品，酸性，针对聚酰胺反渗透膜、中空纤维膜以及钠滤（NF）和超滤（UF），pH值2-3，投加浓度为4～6％，可以与水以任意比例混溶</w:t>
            </w:r>
          </w:p>
        </w:tc>
        <w:tc>
          <w:tcPr>
            <w:tcW w:w="992" w:type="dxa"/>
            <w:vAlign w:val="center"/>
          </w:tcPr>
          <w:p w14:paraId="305A5034">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13C3A440">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8193</w:t>
            </w:r>
          </w:p>
        </w:tc>
        <w:tc>
          <w:tcPr>
            <w:tcW w:w="1100" w:type="dxa"/>
            <w:vAlign w:val="center"/>
          </w:tcPr>
          <w:p w14:paraId="5380D80E">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1EE61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02BDEEA6">
            <w:pPr>
              <w:widowControl/>
              <w:spacing w:line="360" w:lineRule="auto"/>
              <w:jc w:val="center"/>
              <w:rPr>
                <w:rFonts w:hint="eastAsia" w:ascii="宋体" w:hAnsi="宋体" w:cs="宋体"/>
                <w:szCs w:val="21"/>
              </w:rPr>
            </w:pPr>
            <w:r>
              <w:rPr>
                <w:rFonts w:hint="eastAsia" w:ascii="宋体" w:hAnsi="宋体" w:cs="宋体"/>
                <w:szCs w:val="21"/>
              </w:rPr>
              <w:t>9</w:t>
            </w:r>
          </w:p>
        </w:tc>
        <w:tc>
          <w:tcPr>
            <w:tcW w:w="1134" w:type="dxa"/>
            <w:vAlign w:val="center"/>
          </w:tcPr>
          <w:p w14:paraId="4B790330">
            <w:pPr>
              <w:widowControl/>
              <w:spacing w:line="360" w:lineRule="auto"/>
              <w:jc w:val="center"/>
              <w:rPr>
                <w:rFonts w:hint="eastAsia" w:ascii="宋体" w:hAnsi="宋体" w:cs="宋体"/>
                <w:szCs w:val="21"/>
              </w:rPr>
            </w:pPr>
            <w:r>
              <w:rPr>
                <w:rFonts w:hint="eastAsia" w:ascii="宋体" w:hAnsi="宋体" w:cs="宋体"/>
                <w:szCs w:val="21"/>
              </w:rPr>
              <w:t>碱性膜清洗剂</w:t>
            </w:r>
          </w:p>
        </w:tc>
        <w:tc>
          <w:tcPr>
            <w:tcW w:w="3828" w:type="dxa"/>
            <w:vAlign w:val="center"/>
          </w:tcPr>
          <w:p w14:paraId="7C7C1AB5">
            <w:pPr>
              <w:widowControl/>
              <w:spacing w:line="360" w:lineRule="auto"/>
              <w:jc w:val="left"/>
              <w:rPr>
                <w:rFonts w:hint="eastAsia" w:ascii="宋体" w:hAnsi="宋体" w:cs="宋体"/>
                <w:szCs w:val="21"/>
              </w:rPr>
            </w:pPr>
            <w:r>
              <w:rPr>
                <w:rFonts w:hint="eastAsia" w:ascii="宋体" w:hAnsi="宋体" w:cs="宋体"/>
                <w:szCs w:val="21"/>
              </w:rPr>
              <w:t>进口品牌产品，碱性，针对聚酰胺反渗透膜、中空纤维膜以及钠滤（NF）和超滤（UF），pH值10-12，投加浓度为4～6％，可以与水以任意比例混溶</w:t>
            </w:r>
          </w:p>
        </w:tc>
        <w:tc>
          <w:tcPr>
            <w:tcW w:w="992" w:type="dxa"/>
            <w:vAlign w:val="center"/>
          </w:tcPr>
          <w:p w14:paraId="40199388">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303D92F6">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8193</w:t>
            </w:r>
          </w:p>
        </w:tc>
        <w:tc>
          <w:tcPr>
            <w:tcW w:w="1100" w:type="dxa"/>
            <w:vAlign w:val="center"/>
          </w:tcPr>
          <w:p w14:paraId="453BB6F1">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56217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88" w:type="dxa"/>
            <w:gridSpan w:val="6"/>
            <w:vAlign w:val="center"/>
          </w:tcPr>
          <w:p w14:paraId="7B3FB577">
            <w:pPr>
              <w:widowControl/>
              <w:spacing w:line="360" w:lineRule="auto"/>
              <w:jc w:val="left"/>
              <w:rPr>
                <w:rFonts w:hint="eastAsia" w:ascii="宋体" w:hAnsi="宋体" w:cs="宋体"/>
                <w:szCs w:val="21"/>
              </w:rPr>
            </w:pPr>
            <w:r>
              <w:rPr>
                <w:rFonts w:hint="eastAsia" w:ascii="宋体" w:hAnsi="宋体" w:cs="宋体"/>
                <w:szCs w:val="21"/>
              </w:rPr>
              <w:t>4、 渗滤液系统投加及膜设备药剂</w:t>
            </w:r>
          </w:p>
        </w:tc>
      </w:tr>
      <w:tr w14:paraId="159CF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5DE61C7D">
            <w:pPr>
              <w:widowControl/>
              <w:spacing w:line="360" w:lineRule="auto"/>
              <w:jc w:val="center"/>
              <w:rPr>
                <w:rFonts w:hint="eastAsia" w:ascii="宋体" w:hAnsi="宋体" w:cs="宋体"/>
                <w:szCs w:val="21"/>
              </w:rPr>
            </w:pPr>
            <w:r>
              <w:rPr>
                <w:rFonts w:hint="eastAsia" w:ascii="宋体" w:hAnsi="宋体" w:cs="宋体"/>
                <w:szCs w:val="21"/>
              </w:rPr>
              <w:t>1</w:t>
            </w:r>
          </w:p>
        </w:tc>
        <w:tc>
          <w:tcPr>
            <w:tcW w:w="1134" w:type="dxa"/>
            <w:vAlign w:val="center"/>
          </w:tcPr>
          <w:p w14:paraId="5FDFD0C2">
            <w:pPr>
              <w:widowControl/>
              <w:spacing w:line="360" w:lineRule="auto"/>
              <w:jc w:val="center"/>
              <w:rPr>
                <w:rFonts w:hint="eastAsia" w:ascii="宋体" w:hAnsi="宋体" w:cs="宋体"/>
                <w:szCs w:val="21"/>
              </w:rPr>
            </w:pPr>
            <w:r>
              <w:rPr>
                <w:rFonts w:hint="eastAsia" w:ascii="宋体" w:hAnsi="宋体" w:cs="宋体"/>
                <w:szCs w:val="21"/>
              </w:rPr>
              <w:t>片碱（NaoH)</w:t>
            </w:r>
          </w:p>
        </w:tc>
        <w:tc>
          <w:tcPr>
            <w:tcW w:w="3828" w:type="dxa"/>
            <w:vAlign w:val="center"/>
          </w:tcPr>
          <w:p w14:paraId="28588B27">
            <w:pPr>
              <w:widowControl/>
              <w:spacing w:line="360" w:lineRule="auto"/>
              <w:jc w:val="left"/>
              <w:rPr>
                <w:rFonts w:hint="eastAsia" w:ascii="宋体" w:hAnsi="宋体" w:cs="宋体"/>
                <w:szCs w:val="21"/>
              </w:rPr>
            </w:pPr>
            <w:r>
              <w:rPr>
                <w:rFonts w:hint="eastAsia" w:ascii="宋体" w:hAnsi="宋体" w:cs="宋体"/>
                <w:szCs w:val="21"/>
              </w:rPr>
              <w:t>含量98%片状固体，袋装，25kg/袋</w:t>
            </w:r>
          </w:p>
        </w:tc>
        <w:tc>
          <w:tcPr>
            <w:tcW w:w="992" w:type="dxa"/>
            <w:vAlign w:val="center"/>
          </w:tcPr>
          <w:p w14:paraId="67DF277D">
            <w:pPr>
              <w:widowControl/>
              <w:spacing w:line="360" w:lineRule="auto"/>
              <w:jc w:val="center"/>
              <w:rPr>
                <w:rFonts w:hint="eastAsia" w:ascii="宋体" w:hAnsi="宋体" w:cs="宋体"/>
                <w:szCs w:val="21"/>
              </w:rPr>
            </w:pPr>
            <w:r>
              <w:rPr>
                <w:rFonts w:hint="eastAsia" w:ascii="宋体" w:hAnsi="宋体" w:cs="宋体"/>
                <w:szCs w:val="21"/>
              </w:rPr>
              <w:t>12吨</w:t>
            </w:r>
          </w:p>
        </w:tc>
        <w:tc>
          <w:tcPr>
            <w:tcW w:w="1559" w:type="dxa"/>
            <w:noWrap/>
            <w:vAlign w:val="center"/>
          </w:tcPr>
          <w:p w14:paraId="76FADBD2">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2700</w:t>
            </w:r>
          </w:p>
        </w:tc>
        <w:tc>
          <w:tcPr>
            <w:tcW w:w="1100" w:type="dxa"/>
            <w:vAlign w:val="center"/>
          </w:tcPr>
          <w:p w14:paraId="10CFF955">
            <w:pPr>
              <w:widowControl/>
              <w:spacing w:line="360" w:lineRule="auto"/>
              <w:jc w:val="center"/>
              <w:rPr>
                <w:rFonts w:hint="eastAsia" w:ascii="宋体" w:hAnsi="宋体" w:cs="宋体"/>
                <w:szCs w:val="21"/>
              </w:rPr>
            </w:pPr>
          </w:p>
        </w:tc>
      </w:tr>
      <w:tr w14:paraId="7D897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41BE0736">
            <w:pPr>
              <w:widowControl/>
              <w:spacing w:line="360" w:lineRule="auto"/>
              <w:jc w:val="center"/>
              <w:rPr>
                <w:rFonts w:hint="eastAsia" w:ascii="宋体" w:hAnsi="宋体" w:cs="宋体"/>
                <w:szCs w:val="21"/>
              </w:rPr>
            </w:pPr>
            <w:r>
              <w:rPr>
                <w:rFonts w:hint="eastAsia" w:ascii="宋体" w:hAnsi="宋体" w:cs="宋体"/>
                <w:szCs w:val="21"/>
              </w:rPr>
              <w:t>2</w:t>
            </w:r>
          </w:p>
        </w:tc>
        <w:tc>
          <w:tcPr>
            <w:tcW w:w="1134" w:type="dxa"/>
            <w:vAlign w:val="center"/>
          </w:tcPr>
          <w:p w14:paraId="32276E85">
            <w:pPr>
              <w:widowControl/>
              <w:spacing w:line="360" w:lineRule="auto"/>
              <w:jc w:val="center"/>
              <w:rPr>
                <w:rFonts w:hint="eastAsia" w:ascii="宋体" w:hAnsi="宋体" w:cs="宋体"/>
                <w:szCs w:val="21"/>
              </w:rPr>
            </w:pPr>
            <w:r>
              <w:rPr>
                <w:rFonts w:hint="eastAsia" w:ascii="宋体" w:hAnsi="宋体" w:cs="宋体"/>
                <w:szCs w:val="21"/>
              </w:rPr>
              <w:t>食用级葡萄糖</w:t>
            </w:r>
          </w:p>
        </w:tc>
        <w:tc>
          <w:tcPr>
            <w:tcW w:w="3828" w:type="dxa"/>
            <w:vAlign w:val="center"/>
          </w:tcPr>
          <w:p w14:paraId="2DC7BE3B">
            <w:pPr>
              <w:widowControl/>
              <w:spacing w:line="360" w:lineRule="auto"/>
              <w:jc w:val="left"/>
              <w:rPr>
                <w:rFonts w:hint="eastAsia" w:ascii="宋体" w:hAnsi="宋体" w:cs="宋体"/>
                <w:szCs w:val="21"/>
              </w:rPr>
            </w:pPr>
            <w:r>
              <w:rPr>
                <w:rFonts w:hint="eastAsia" w:ascii="宋体" w:hAnsi="宋体" w:cs="宋体"/>
                <w:szCs w:val="21"/>
              </w:rPr>
              <w:t>含量99%食用级白色晶体，袋装，25kg/袋</w:t>
            </w:r>
          </w:p>
        </w:tc>
        <w:tc>
          <w:tcPr>
            <w:tcW w:w="992" w:type="dxa"/>
            <w:vAlign w:val="center"/>
          </w:tcPr>
          <w:p w14:paraId="62D9B612">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552ACC2B">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2783</w:t>
            </w:r>
          </w:p>
        </w:tc>
        <w:tc>
          <w:tcPr>
            <w:tcW w:w="1100" w:type="dxa"/>
            <w:vAlign w:val="center"/>
          </w:tcPr>
          <w:p w14:paraId="65E78295">
            <w:pPr>
              <w:widowControl/>
              <w:spacing w:line="360" w:lineRule="auto"/>
              <w:jc w:val="center"/>
              <w:rPr>
                <w:rFonts w:hint="eastAsia" w:ascii="宋体" w:hAnsi="宋体" w:cs="宋体"/>
                <w:szCs w:val="21"/>
              </w:rPr>
            </w:pPr>
          </w:p>
        </w:tc>
      </w:tr>
      <w:tr w14:paraId="41A79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1E82A2F2">
            <w:pPr>
              <w:widowControl/>
              <w:spacing w:line="360" w:lineRule="auto"/>
              <w:jc w:val="center"/>
              <w:rPr>
                <w:rFonts w:hint="eastAsia" w:ascii="宋体" w:hAnsi="宋体" w:cs="宋体"/>
                <w:szCs w:val="21"/>
              </w:rPr>
            </w:pPr>
            <w:r>
              <w:rPr>
                <w:rFonts w:hint="eastAsia" w:ascii="宋体" w:hAnsi="宋体" w:cs="宋体"/>
                <w:szCs w:val="21"/>
              </w:rPr>
              <w:t>3</w:t>
            </w:r>
          </w:p>
        </w:tc>
        <w:tc>
          <w:tcPr>
            <w:tcW w:w="1134" w:type="dxa"/>
            <w:vAlign w:val="center"/>
          </w:tcPr>
          <w:p w14:paraId="14B1DA62">
            <w:pPr>
              <w:widowControl/>
              <w:spacing w:line="360" w:lineRule="auto"/>
              <w:jc w:val="center"/>
              <w:rPr>
                <w:rFonts w:hint="eastAsia" w:ascii="宋体" w:hAnsi="宋体" w:cs="宋体"/>
                <w:szCs w:val="21"/>
              </w:rPr>
            </w:pPr>
            <w:r>
              <w:rPr>
                <w:rFonts w:hint="eastAsia" w:ascii="宋体" w:hAnsi="宋体" w:cs="宋体"/>
                <w:szCs w:val="21"/>
              </w:rPr>
              <w:t>消泡剂</w:t>
            </w:r>
          </w:p>
        </w:tc>
        <w:tc>
          <w:tcPr>
            <w:tcW w:w="3828" w:type="dxa"/>
            <w:vAlign w:val="center"/>
          </w:tcPr>
          <w:p w14:paraId="0613AB7C">
            <w:pPr>
              <w:widowControl/>
              <w:spacing w:line="360" w:lineRule="auto"/>
              <w:jc w:val="left"/>
              <w:rPr>
                <w:rFonts w:hint="eastAsia" w:ascii="宋体" w:hAnsi="宋体" w:cs="宋体"/>
                <w:szCs w:val="21"/>
              </w:rPr>
            </w:pPr>
            <w:r>
              <w:rPr>
                <w:rFonts w:hint="eastAsia" w:ascii="宋体" w:hAnsi="宋体" w:cs="宋体"/>
                <w:szCs w:val="21"/>
              </w:rPr>
              <w:t>不含硅聚醚类；外观无机械杂质；PH 5-7；黏度（25℃）/（mPa·s）150-350；分散成乳状，无油状及颗粒状漂浮；消泡性能（泡沫残留率）／％≤40.0</w:t>
            </w:r>
          </w:p>
        </w:tc>
        <w:tc>
          <w:tcPr>
            <w:tcW w:w="992" w:type="dxa"/>
            <w:vAlign w:val="center"/>
          </w:tcPr>
          <w:p w14:paraId="3BA66B45">
            <w:pPr>
              <w:widowControl/>
              <w:spacing w:line="360" w:lineRule="auto"/>
              <w:jc w:val="center"/>
              <w:rPr>
                <w:rFonts w:hint="eastAsia" w:ascii="宋体" w:hAnsi="宋体" w:cs="宋体"/>
                <w:szCs w:val="21"/>
              </w:rPr>
            </w:pPr>
            <w:r>
              <w:rPr>
                <w:rFonts w:hint="eastAsia" w:ascii="宋体" w:hAnsi="宋体" w:cs="宋体"/>
                <w:szCs w:val="21"/>
              </w:rPr>
              <w:t>12吨</w:t>
            </w:r>
          </w:p>
        </w:tc>
        <w:tc>
          <w:tcPr>
            <w:tcW w:w="1559" w:type="dxa"/>
            <w:noWrap/>
            <w:vAlign w:val="center"/>
          </w:tcPr>
          <w:p w14:paraId="7A6E0AE2">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11667</w:t>
            </w:r>
          </w:p>
        </w:tc>
        <w:tc>
          <w:tcPr>
            <w:tcW w:w="1100" w:type="dxa"/>
            <w:vAlign w:val="center"/>
          </w:tcPr>
          <w:p w14:paraId="6AA4719E">
            <w:pPr>
              <w:widowControl/>
              <w:spacing w:line="360" w:lineRule="auto"/>
              <w:jc w:val="center"/>
              <w:rPr>
                <w:rFonts w:hint="eastAsia" w:ascii="宋体" w:hAnsi="宋体" w:cs="宋体"/>
                <w:szCs w:val="21"/>
              </w:rPr>
            </w:pPr>
          </w:p>
        </w:tc>
      </w:tr>
      <w:tr w14:paraId="7CCF0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5602AD6A">
            <w:pPr>
              <w:widowControl/>
              <w:spacing w:line="360" w:lineRule="auto"/>
              <w:jc w:val="center"/>
              <w:rPr>
                <w:rFonts w:hint="eastAsia" w:ascii="宋体" w:hAnsi="宋体" w:cs="宋体"/>
                <w:szCs w:val="21"/>
              </w:rPr>
            </w:pPr>
            <w:r>
              <w:rPr>
                <w:rFonts w:hint="eastAsia" w:ascii="宋体" w:hAnsi="宋体" w:cs="宋体"/>
                <w:szCs w:val="21"/>
              </w:rPr>
              <w:t>4</w:t>
            </w:r>
          </w:p>
        </w:tc>
        <w:tc>
          <w:tcPr>
            <w:tcW w:w="1134" w:type="dxa"/>
            <w:vAlign w:val="center"/>
          </w:tcPr>
          <w:p w14:paraId="3FC3AF46">
            <w:pPr>
              <w:widowControl/>
              <w:spacing w:line="360" w:lineRule="auto"/>
              <w:jc w:val="center"/>
              <w:rPr>
                <w:rFonts w:hint="eastAsia" w:ascii="宋体" w:hAnsi="宋体" w:cs="宋体"/>
                <w:szCs w:val="21"/>
              </w:rPr>
            </w:pPr>
            <w:r>
              <w:rPr>
                <w:rFonts w:hint="eastAsia" w:ascii="宋体" w:hAnsi="宋体" w:cs="宋体"/>
                <w:szCs w:val="21"/>
              </w:rPr>
              <w:t>非氧化性杀菌剂</w:t>
            </w:r>
          </w:p>
        </w:tc>
        <w:tc>
          <w:tcPr>
            <w:tcW w:w="3828" w:type="dxa"/>
            <w:vAlign w:val="center"/>
          </w:tcPr>
          <w:p w14:paraId="5127DC42">
            <w:pPr>
              <w:widowControl/>
              <w:spacing w:line="360" w:lineRule="auto"/>
              <w:jc w:val="left"/>
              <w:rPr>
                <w:rFonts w:hint="eastAsia" w:ascii="宋体" w:hAnsi="宋体" w:cs="宋体"/>
                <w:szCs w:val="21"/>
              </w:rPr>
            </w:pPr>
            <w:r>
              <w:rPr>
                <w:rFonts w:hint="eastAsia" w:ascii="宋体" w:hAnsi="宋体" w:cs="宋体"/>
                <w:szCs w:val="21"/>
              </w:rPr>
              <w:t>进口品牌产品，硝酸镁≤10%，5-氯-2-甲基-4-异噻唑啉-3-酮和2-甲基-4-异噻唑啉-3-酮(3：1)≤10%，所生产的药剂需提供膜厂家兼容性的认证证书</w:t>
            </w:r>
          </w:p>
        </w:tc>
        <w:tc>
          <w:tcPr>
            <w:tcW w:w="992" w:type="dxa"/>
            <w:vAlign w:val="center"/>
          </w:tcPr>
          <w:p w14:paraId="0139A2ED">
            <w:pPr>
              <w:widowControl/>
              <w:spacing w:line="360" w:lineRule="auto"/>
              <w:jc w:val="center"/>
              <w:rPr>
                <w:rFonts w:hint="eastAsia" w:ascii="宋体" w:hAnsi="宋体" w:cs="宋体"/>
                <w:szCs w:val="21"/>
              </w:rPr>
            </w:pPr>
            <w:r>
              <w:rPr>
                <w:rFonts w:hint="eastAsia" w:ascii="宋体" w:hAnsi="宋体" w:cs="宋体"/>
                <w:szCs w:val="21"/>
              </w:rPr>
              <w:t>4吨</w:t>
            </w:r>
          </w:p>
        </w:tc>
        <w:tc>
          <w:tcPr>
            <w:tcW w:w="1559" w:type="dxa"/>
            <w:noWrap/>
            <w:vAlign w:val="center"/>
          </w:tcPr>
          <w:p w14:paraId="1B2C1480">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8667</w:t>
            </w:r>
          </w:p>
        </w:tc>
        <w:tc>
          <w:tcPr>
            <w:tcW w:w="1100" w:type="dxa"/>
            <w:noWrap/>
            <w:vAlign w:val="center"/>
          </w:tcPr>
          <w:p w14:paraId="051B2109">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6C9EE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2E46DF87">
            <w:pPr>
              <w:widowControl/>
              <w:spacing w:line="360" w:lineRule="auto"/>
              <w:jc w:val="center"/>
              <w:rPr>
                <w:rFonts w:hint="eastAsia" w:ascii="宋体" w:hAnsi="宋体" w:cs="宋体"/>
                <w:szCs w:val="21"/>
              </w:rPr>
            </w:pPr>
            <w:r>
              <w:rPr>
                <w:rFonts w:hint="eastAsia" w:ascii="宋体" w:hAnsi="宋体" w:cs="宋体"/>
                <w:szCs w:val="21"/>
              </w:rPr>
              <w:t>5</w:t>
            </w:r>
          </w:p>
        </w:tc>
        <w:tc>
          <w:tcPr>
            <w:tcW w:w="1134" w:type="dxa"/>
            <w:vAlign w:val="center"/>
          </w:tcPr>
          <w:p w14:paraId="6FFA1A6D">
            <w:pPr>
              <w:widowControl/>
              <w:spacing w:line="360" w:lineRule="auto"/>
              <w:jc w:val="center"/>
              <w:rPr>
                <w:rFonts w:hint="eastAsia" w:ascii="宋体" w:hAnsi="宋体" w:cs="宋体"/>
                <w:szCs w:val="21"/>
              </w:rPr>
            </w:pPr>
            <w:r>
              <w:rPr>
                <w:rFonts w:hint="eastAsia" w:ascii="宋体" w:hAnsi="宋体" w:cs="宋体"/>
                <w:szCs w:val="21"/>
              </w:rPr>
              <w:t>酸性膜清洗剂</w:t>
            </w:r>
          </w:p>
        </w:tc>
        <w:tc>
          <w:tcPr>
            <w:tcW w:w="3828" w:type="dxa"/>
            <w:vAlign w:val="center"/>
          </w:tcPr>
          <w:p w14:paraId="68D4C660">
            <w:pPr>
              <w:widowControl/>
              <w:spacing w:line="360" w:lineRule="auto"/>
              <w:jc w:val="left"/>
              <w:rPr>
                <w:rFonts w:hint="eastAsia" w:ascii="宋体" w:hAnsi="宋体" w:cs="宋体"/>
                <w:szCs w:val="21"/>
              </w:rPr>
            </w:pPr>
            <w:r>
              <w:rPr>
                <w:rFonts w:hint="eastAsia" w:ascii="宋体" w:hAnsi="宋体" w:cs="宋体"/>
                <w:szCs w:val="21"/>
              </w:rPr>
              <w:t>进口品牌产品，酸性，适用于有机复合材料DTRO洗膜,pH值1-3</w:t>
            </w:r>
          </w:p>
        </w:tc>
        <w:tc>
          <w:tcPr>
            <w:tcW w:w="992" w:type="dxa"/>
            <w:vAlign w:val="center"/>
          </w:tcPr>
          <w:p w14:paraId="45CB379A">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2020E9E9">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8697</w:t>
            </w:r>
          </w:p>
        </w:tc>
        <w:tc>
          <w:tcPr>
            <w:tcW w:w="1100" w:type="dxa"/>
            <w:vAlign w:val="center"/>
          </w:tcPr>
          <w:p w14:paraId="29BA56C1">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23119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27D28292">
            <w:pPr>
              <w:widowControl/>
              <w:spacing w:line="360" w:lineRule="auto"/>
              <w:jc w:val="center"/>
              <w:rPr>
                <w:rFonts w:hint="eastAsia" w:ascii="宋体" w:hAnsi="宋体" w:cs="宋体"/>
                <w:szCs w:val="21"/>
              </w:rPr>
            </w:pPr>
            <w:r>
              <w:rPr>
                <w:rFonts w:hint="eastAsia" w:ascii="宋体" w:hAnsi="宋体" w:cs="宋体"/>
                <w:szCs w:val="21"/>
              </w:rPr>
              <w:t>6</w:t>
            </w:r>
          </w:p>
        </w:tc>
        <w:tc>
          <w:tcPr>
            <w:tcW w:w="1134" w:type="dxa"/>
            <w:vAlign w:val="center"/>
          </w:tcPr>
          <w:p w14:paraId="51E7D868">
            <w:pPr>
              <w:widowControl/>
              <w:spacing w:line="360" w:lineRule="auto"/>
              <w:jc w:val="center"/>
              <w:rPr>
                <w:rFonts w:hint="eastAsia" w:ascii="宋体" w:hAnsi="宋体" w:cs="宋体"/>
                <w:szCs w:val="21"/>
              </w:rPr>
            </w:pPr>
            <w:r>
              <w:rPr>
                <w:rFonts w:hint="eastAsia" w:ascii="宋体" w:hAnsi="宋体" w:cs="宋体"/>
                <w:szCs w:val="21"/>
              </w:rPr>
              <w:t>碱性膜清洗剂</w:t>
            </w:r>
          </w:p>
        </w:tc>
        <w:tc>
          <w:tcPr>
            <w:tcW w:w="3828" w:type="dxa"/>
            <w:vAlign w:val="center"/>
          </w:tcPr>
          <w:p w14:paraId="4665DE8E">
            <w:pPr>
              <w:widowControl/>
              <w:spacing w:line="360" w:lineRule="auto"/>
              <w:jc w:val="left"/>
              <w:rPr>
                <w:rFonts w:hint="eastAsia" w:ascii="宋体" w:hAnsi="宋体" w:cs="宋体"/>
                <w:szCs w:val="21"/>
              </w:rPr>
            </w:pPr>
            <w:r>
              <w:rPr>
                <w:rFonts w:hint="eastAsia" w:ascii="宋体" w:hAnsi="宋体" w:cs="宋体"/>
                <w:szCs w:val="21"/>
              </w:rPr>
              <w:t>进口品牌产品，碱性，适用于有机复合材料DTRO洗膜，pH值11-13</w:t>
            </w:r>
          </w:p>
        </w:tc>
        <w:tc>
          <w:tcPr>
            <w:tcW w:w="992" w:type="dxa"/>
            <w:vAlign w:val="center"/>
          </w:tcPr>
          <w:p w14:paraId="4D17C015">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2330BEF2">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8697</w:t>
            </w:r>
          </w:p>
        </w:tc>
        <w:tc>
          <w:tcPr>
            <w:tcW w:w="1100" w:type="dxa"/>
            <w:vAlign w:val="center"/>
          </w:tcPr>
          <w:p w14:paraId="201A112C">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5FC35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74888786">
            <w:pPr>
              <w:widowControl/>
              <w:spacing w:line="360" w:lineRule="auto"/>
              <w:jc w:val="center"/>
              <w:rPr>
                <w:rFonts w:hint="eastAsia" w:ascii="宋体" w:hAnsi="宋体" w:cs="宋体"/>
                <w:szCs w:val="21"/>
              </w:rPr>
            </w:pPr>
            <w:r>
              <w:rPr>
                <w:rFonts w:hint="eastAsia" w:ascii="宋体" w:hAnsi="宋体" w:cs="宋体"/>
                <w:szCs w:val="21"/>
              </w:rPr>
              <w:t>7</w:t>
            </w:r>
          </w:p>
        </w:tc>
        <w:tc>
          <w:tcPr>
            <w:tcW w:w="1134" w:type="dxa"/>
            <w:vAlign w:val="center"/>
          </w:tcPr>
          <w:p w14:paraId="34C40416">
            <w:pPr>
              <w:widowControl/>
              <w:spacing w:line="360" w:lineRule="auto"/>
              <w:jc w:val="center"/>
              <w:rPr>
                <w:rFonts w:hint="eastAsia" w:ascii="宋体" w:hAnsi="宋体" w:cs="宋体"/>
                <w:szCs w:val="21"/>
              </w:rPr>
            </w:pPr>
            <w:r>
              <w:rPr>
                <w:rFonts w:hint="eastAsia" w:ascii="宋体" w:hAnsi="宋体" w:cs="宋体"/>
                <w:szCs w:val="21"/>
              </w:rPr>
              <w:t>阻垢剂</w:t>
            </w:r>
          </w:p>
        </w:tc>
        <w:tc>
          <w:tcPr>
            <w:tcW w:w="3828" w:type="dxa"/>
            <w:vAlign w:val="center"/>
          </w:tcPr>
          <w:p w14:paraId="5EDD82C0">
            <w:pPr>
              <w:widowControl/>
              <w:spacing w:line="360" w:lineRule="auto"/>
              <w:jc w:val="left"/>
              <w:rPr>
                <w:rFonts w:hint="eastAsia" w:ascii="宋体" w:hAnsi="宋体" w:cs="宋体"/>
                <w:szCs w:val="21"/>
              </w:rPr>
            </w:pPr>
            <w:r>
              <w:rPr>
                <w:rFonts w:hint="eastAsia" w:ascii="宋体" w:hAnsi="宋体" w:cs="宋体"/>
                <w:szCs w:val="21"/>
              </w:rPr>
              <w:t>进口品牌产品，适用于陶氏/纳滤/反渗透膜渗沥液处理中。所生产的药剂需提供膜厂家兼容性的认证证书，(1-羧基乙叉)双膦酸钠盐：10～30%)</w:t>
            </w:r>
          </w:p>
        </w:tc>
        <w:tc>
          <w:tcPr>
            <w:tcW w:w="992" w:type="dxa"/>
            <w:vAlign w:val="center"/>
          </w:tcPr>
          <w:p w14:paraId="72EDF9E1">
            <w:pPr>
              <w:widowControl/>
              <w:spacing w:line="360" w:lineRule="auto"/>
              <w:jc w:val="center"/>
              <w:rPr>
                <w:rFonts w:hint="eastAsia" w:ascii="宋体" w:hAnsi="宋体" w:cs="宋体"/>
                <w:szCs w:val="21"/>
              </w:rPr>
            </w:pPr>
            <w:r>
              <w:rPr>
                <w:rFonts w:hint="eastAsia" w:ascii="宋体" w:hAnsi="宋体" w:cs="宋体"/>
                <w:szCs w:val="21"/>
              </w:rPr>
              <w:t>2吨</w:t>
            </w:r>
          </w:p>
        </w:tc>
        <w:tc>
          <w:tcPr>
            <w:tcW w:w="1559" w:type="dxa"/>
            <w:noWrap/>
            <w:vAlign w:val="center"/>
          </w:tcPr>
          <w:p w14:paraId="2E982FCA">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13393</w:t>
            </w:r>
          </w:p>
        </w:tc>
        <w:tc>
          <w:tcPr>
            <w:tcW w:w="1100" w:type="dxa"/>
            <w:vAlign w:val="center"/>
          </w:tcPr>
          <w:p w14:paraId="1F6E2663">
            <w:pPr>
              <w:widowControl/>
              <w:spacing w:line="360" w:lineRule="auto"/>
              <w:jc w:val="center"/>
              <w:rPr>
                <w:rFonts w:hint="eastAsia" w:ascii="宋体" w:hAnsi="宋体" w:cs="宋体"/>
                <w:szCs w:val="21"/>
              </w:rPr>
            </w:pPr>
            <w:r>
              <w:rPr>
                <w:rFonts w:hint="eastAsia" w:ascii="宋体" w:hAnsi="宋体" w:cs="宋体"/>
                <w:szCs w:val="21"/>
              </w:rPr>
              <w:t>陶氏、苏伊士、纳尔科等同档次品牌</w:t>
            </w:r>
          </w:p>
        </w:tc>
      </w:tr>
      <w:tr w14:paraId="57497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647FB5E7">
            <w:pPr>
              <w:widowControl/>
              <w:spacing w:line="360" w:lineRule="auto"/>
              <w:jc w:val="center"/>
              <w:rPr>
                <w:rFonts w:hint="eastAsia" w:ascii="宋体" w:hAnsi="宋体" w:cs="宋体"/>
                <w:szCs w:val="21"/>
              </w:rPr>
            </w:pPr>
            <w:r>
              <w:rPr>
                <w:rFonts w:hint="eastAsia" w:ascii="宋体" w:hAnsi="宋体" w:cs="宋体"/>
                <w:szCs w:val="21"/>
              </w:rPr>
              <w:t>8</w:t>
            </w:r>
          </w:p>
        </w:tc>
        <w:tc>
          <w:tcPr>
            <w:tcW w:w="1134" w:type="dxa"/>
            <w:vAlign w:val="center"/>
          </w:tcPr>
          <w:p w14:paraId="12723EAE">
            <w:pPr>
              <w:widowControl/>
              <w:spacing w:line="360" w:lineRule="auto"/>
              <w:jc w:val="center"/>
              <w:rPr>
                <w:rFonts w:hint="eastAsia" w:ascii="宋体" w:hAnsi="宋体" w:cs="宋体"/>
                <w:szCs w:val="21"/>
              </w:rPr>
            </w:pPr>
            <w:r>
              <w:rPr>
                <w:rFonts w:hint="eastAsia" w:ascii="宋体" w:hAnsi="宋体" w:cs="宋体"/>
                <w:szCs w:val="21"/>
              </w:rPr>
              <w:t>混凝剂（PAC）</w:t>
            </w:r>
          </w:p>
        </w:tc>
        <w:tc>
          <w:tcPr>
            <w:tcW w:w="3828" w:type="dxa"/>
            <w:vAlign w:val="center"/>
          </w:tcPr>
          <w:p w14:paraId="43DB51EF">
            <w:pPr>
              <w:widowControl/>
              <w:spacing w:line="360" w:lineRule="auto"/>
              <w:jc w:val="left"/>
              <w:rPr>
                <w:rFonts w:hint="eastAsia" w:ascii="宋体" w:hAnsi="宋体" w:cs="宋体"/>
                <w:szCs w:val="21"/>
              </w:rPr>
            </w:pPr>
            <w:r>
              <w:rPr>
                <w:rFonts w:hint="eastAsia" w:ascii="宋体" w:hAnsi="宋体" w:cs="宋体"/>
                <w:szCs w:val="21"/>
              </w:rPr>
              <w:t>工业级，黄色或棕褐色晶粒或粉末</w:t>
            </w:r>
          </w:p>
          <w:p w14:paraId="4FE3048E">
            <w:pPr>
              <w:widowControl/>
              <w:spacing w:line="360" w:lineRule="auto"/>
              <w:jc w:val="left"/>
              <w:rPr>
                <w:rFonts w:hint="eastAsia" w:ascii="宋体" w:hAnsi="宋体" w:cs="宋体"/>
                <w:szCs w:val="21"/>
              </w:rPr>
            </w:pPr>
            <w:r>
              <w:rPr>
                <w:rFonts w:hint="eastAsia" w:ascii="宋体" w:hAnsi="宋体" w:cs="宋体"/>
                <w:szCs w:val="21"/>
              </w:rPr>
              <w:t>PAC，含量≥30%，包装：25 kg/袋</w:t>
            </w:r>
          </w:p>
        </w:tc>
        <w:tc>
          <w:tcPr>
            <w:tcW w:w="992" w:type="dxa"/>
            <w:vAlign w:val="center"/>
          </w:tcPr>
          <w:p w14:paraId="5332A768">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594D293B">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1380</w:t>
            </w:r>
          </w:p>
        </w:tc>
        <w:tc>
          <w:tcPr>
            <w:tcW w:w="1100" w:type="dxa"/>
            <w:vAlign w:val="center"/>
          </w:tcPr>
          <w:p w14:paraId="00339E38">
            <w:pPr>
              <w:widowControl/>
              <w:spacing w:line="360" w:lineRule="auto"/>
              <w:jc w:val="center"/>
              <w:rPr>
                <w:rFonts w:hint="eastAsia" w:ascii="宋体" w:hAnsi="宋体" w:cs="宋体"/>
                <w:szCs w:val="21"/>
              </w:rPr>
            </w:pPr>
          </w:p>
        </w:tc>
      </w:tr>
      <w:tr w14:paraId="509D0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9A9103F">
            <w:pPr>
              <w:widowControl/>
              <w:spacing w:line="360" w:lineRule="auto"/>
              <w:jc w:val="center"/>
              <w:rPr>
                <w:rFonts w:hint="eastAsia" w:ascii="宋体" w:hAnsi="宋体" w:cs="宋体"/>
                <w:szCs w:val="21"/>
              </w:rPr>
            </w:pPr>
            <w:r>
              <w:rPr>
                <w:rFonts w:hint="eastAsia" w:ascii="宋体" w:hAnsi="宋体" w:cs="宋体"/>
                <w:szCs w:val="21"/>
              </w:rPr>
              <w:t>9</w:t>
            </w:r>
          </w:p>
        </w:tc>
        <w:tc>
          <w:tcPr>
            <w:tcW w:w="1134" w:type="dxa"/>
            <w:vAlign w:val="center"/>
          </w:tcPr>
          <w:p w14:paraId="25E11ED9">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48693C21">
            <w:pPr>
              <w:widowControl/>
              <w:spacing w:line="360" w:lineRule="auto"/>
              <w:jc w:val="left"/>
              <w:rPr>
                <w:rFonts w:hint="eastAsia" w:ascii="宋体" w:hAnsi="宋体" w:cs="宋体"/>
                <w:szCs w:val="21"/>
              </w:rPr>
            </w:pPr>
            <w:r>
              <w:rPr>
                <w:rFonts w:hint="eastAsia" w:ascii="宋体" w:hAnsi="宋体" w:cs="宋体"/>
                <w:szCs w:val="21"/>
              </w:rPr>
              <w:t>阴离子聚丙烯酰胺，外观为白色粉末，分子量1000万-2000万，</w:t>
            </w:r>
          </w:p>
          <w:p w14:paraId="08349AE7">
            <w:pPr>
              <w:widowControl/>
              <w:spacing w:line="360" w:lineRule="auto"/>
              <w:jc w:val="left"/>
              <w:rPr>
                <w:rFonts w:hint="eastAsia" w:ascii="宋体" w:hAnsi="宋体" w:cs="宋体"/>
                <w:szCs w:val="21"/>
              </w:rPr>
            </w:pPr>
            <w:r>
              <w:rPr>
                <w:rFonts w:hint="eastAsia" w:ascii="宋体" w:hAnsi="宋体" w:cs="宋体"/>
                <w:szCs w:val="21"/>
              </w:rPr>
              <w:t>包装：25kg/袋，固含量（固体）／％≥86.0；丙烯酰胺单体含量（干基）／％≤0.05；溶解时间（阴离子型）/min≤60；溶解时间（非离子型）/min≤90；筛余物（1.00mm筛网）／％≤2；筛余物（180um筛网）／％≥80.0；水不溶物／％≤0.3；氯化物含量／％≤0.5；硫酸盐含量／％≤2.0</w:t>
            </w:r>
          </w:p>
        </w:tc>
        <w:tc>
          <w:tcPr>
            <w:tcW w:w="992" w:type="dxa"/>
            <w:vAlign w:val="center"/>
          </w:tcPr>
          <w:p w14:paraId="65274C62">
            <w:pPr>
              <w:widowControl/>
              <w:spacing w:line="360" w:lineRule="auto"/>
              <w:jc w:val="center"/>
              <w:rPr>
                <w:rFonts w:hint="eastAsia" w:ascii="宋体" w:hAnsi="宋体" w:cs="宋体"/>
                <w:szCs w:val="21"/>
              </w:rPr>
            </w:pPr>
            <w:r>
              <w:rPr>
                <w:rFonts w:hint="eastAsia" w:ascii="宋体" w:hAnsi="宋体" w:cs="宋体"/>
                <w:szCs w:val="21"/>
              </w:rPr>
              <w:t>1吨</w:t>
            </w:r>
          </w:p>
        </w:tc>
        <w:tc>
          <w:tcPr>
            <w:tcW w:w="1559" w:type="dxa"/>
            <w:noWrap/>
            <w:vAlign w:val="center"/>
          </w:tcPr>
          <w:p w14:paraId="2FAA3BD8">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2377</w:t>
            </w:r>
          </w:p>
        </w:tc>
        <w:tc>
          <w:tcPr>
            <w:tcW w:w="1100" w:type="dxa"/>
            <w:vAlign w:val="center"/>
          </w:tcPr>
          <w:p w14:paraId="30C6AB0E">
            <w:pPr>
              <w:widowControl/>
              <w:spacing w:line="360" w:lineRule="auto"/>
              <w:jc w:val="center"/>
              <w:rPr>
                <w:rFonts w:hint="eastAsia" w:ascii="宋体" w:hAnsi="宋体" w:cs="宋体"/>
                <w:szCs w:val="21"/>
              </w:rPr>
            </w:pPr>
          </w:p>
        </w:tc>
      </w:tr>
      <w:tr w14:paraId="35C08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404EB6F">
            <w:pPr>
              <w:widowControl/>
              <w:spacing w:line="360" w:lineRule="auto"/>
              <w:jc w:val="center"/>
              <w:rPr>
                <w:rFonts w:hint="eastAsia" w:ascii="宋体" w:hAnsi="宋体" w:cs="宋体"/>
                <w:szCs w:val="21"/>
              </w:rPr>
            </w:pPr>
            <w:r>
              <w:rPr>
                <w:rFonts w:hint="eastAsia" w:ascii="宋体" w:hAnsi="宋体" w:cs="宋体"/>
                <w:szCs w:val="21"/>
              </w:rPr>
              <w:t>10</w:t>
            </w:r>
          </w:p>
        </w:tc>
        <w:tc>
          <w:tcPr>
            <w:tcW w:w="1134" w:type="dxa"/>
            <w:vAlign w:val="center"/>
          </w:tcPr>
          <w:p w14:paraId="3BC8E248">
            <w:pPr>
              <w:widowControl/>
              <w:spacing w:line="360" w:lineRule="auto"/>
              <w:jc w:val="center"/>
              <w:rPr>
                <w:rFonts w:hint="eastAsia" w:ascii="宋体" w:hAnsi="宋体" w:cs="宋体"/>
                <w:szCs w:val="21"/>
              </w:rPr>
            </w:pPr>
            <w:r>
              <w:rPr>
                <w:rFonts w:hint="eastAsia" w:ascii="宋体" w:hAnsi="宋体" w:cs="宋体"/>
                <w:szCs w:val="21"/>
              </w:rPr>
              <w:t>助凝剂（PAM）</w:t>
            </w:r>
          </w:p>
        </w:tc>
        <w:tc>
          <w:tcPr>
            <w:tcW w:w="3828" w:type="dxa"/>
            <w:vAlign w:val="center"/>
          </w:tcPr>
          <w:p w14:paraId="249DBFA5">
            <w:pPr>
              <w:widowControl/>
              <w:spacing w:line="360" w:lineRule="auto"/>
              <w:jc w:val="left"/>
              <w:rPr>
                <w:rFonts w:hint="eastAsia" w:ascii="宋体" w:hAnsi="宋体" w:cs="宋体"/>
                <w:szCs w:val="21"/>
              </w:rPr>
            </w:pPr>
            <w:r>
              <w:rPr>
                <w:rFonts w:hint="eastAsia" w:ascii="宋体" w:hAnsi="宋体" w:cs="宋体"/>
                <w:szCs w:val="21"/>
              </w:rPr>
              <w:t>阳离子聚丙烯酰胺，外观为白色粉粒，分子量1000万-1200万，包装：25 kg/袋，相对分子质量≥100×104；固含量（固体）／％≥85；阳离子度/% 70；丙烯酰胺单体含量（干基）／％≤0.1；溶解时间（1g/L）/min≤60；筛余物（1.40mm筛网）／％≤5；筛余物（180um筛网）／％≥80.0；水不溶物／％≤0.5；氯化物含量／％≤0.08；硫酸盐含量／％≤0.05，（污泥脱水药剂，需要先送样品，做试验，根据效果而定）</w:t>
            </w:r>
          </w:p>
        </w:tc>
        <w:tc>
          <w:tcPr>
            <w:tcW w:w="992" w:type="dxa"/>
            <w:vAlign w:val="center"/>
          </w:tcPr>
          <w:p w14:paraId="52CDEE76">
            <w:pPr>
              <w:widowControl/>
              <w:spacing w:line="360" w:lineRule="auto"/>
              <w:jc w:val="center"/>
              <w:rPr>
                <w:rFonts w:hint="eastAsia" w:ascii="宋体" w:hAnsi="宋体" w:cs="宋体"/>
                <w:szCs w:val="21"/>
              </w:rPr>
            </w:pPr>
            <w:r>
              <w:rPr>
                <w:rFonts w:hint="eastAsia" w:ascii="宋体" w:hAnsi="宋体" w:cs="宋体"/>
                <w:szCs w:val="21"/>
              </w:rPr>
              <w:t>6吨</w:t>
            </w:r>
          </w:p>
        </w:tc>
        <w:tc>
          <w:tcPr>
            <w:tcW w:w="1559" w:type="dxa"/>
            <w:noWrap/>
            <w:vAlign w:val="center"/>
          </w:tcPr>
          <w:p w14:paraId="414216AF">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9520</w:t>
            </w:r>
          </w:p>
        </w:tc>
        <w:tc>
          <w:tcPr>
            <w:tcW w:w="1100" w:type="dxa"/>
            <w:vAlign w:val="center"/>
          </w:tcPr>
          <w:p w14:paraId="1F6D0E0B">
            <w:pPr>
              <w:widowControl/>
              <w:spacing w:line="360" w:lineRule="auto"/>
              <w:jc w:val="center"/>
              <w:rPr>
                <w:rFonts w:hint="eastAsia" w:ascii="宋体" w:hAnsi="宋体" w:cs="宋体"/>
                <w:szCs w:val="21"/>
              </w:rPr>
            </w:pPr>
          </w:p>
        </w:tc>
      </w:tr>
      <w:tr w14:paraId="53D9C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ign w:val="center"/>
          </w:tcPr>
          <w:p w14:paraId="3607DE05">
            <w:pPr>
              <w:widowControl/>
              <w:spacing w:line="360" w:lineRule="auto"/>
              <w:jc w:val="center"/>
              <w:rPr>
                <w:rFonts w:hint="eastAsia" w:ascii="宋体" w:hAnsi="宋体" w:cs="宋体"/>
                <w:szCs w:val="21"/>
              </w:rPr>
            </w:pPr>
            <w:r>
              <w:rPr>
                <w:rFonts w:hint="eastAsia" w:ascii="宋体" w:hAnsi="宋体" w:cs="宋体"/>
                <w:szCs w:val="21"/>
              </w:rPr>
              <w:t>11</w:t>
            </w:r>
          </w:p>
        </w:tc>
        <w:tc>
          <w:tcPr>
            <w:tcW w:w="1134" w:type="dxa"/>
            <w:vAlign w:val="center"/>
          </w:tcPr>
          <w:p w14:paraId="66DD498B">
            <w:pPr>
              <w:widowControl/>
              <w:spacing w:line="360" w:lineRule="auto"/>
              <w:jc w:val="center"/>
              <w:rPr>
                <w:rFonts w:hint="eastAsia" w:ascii="宋体" w:hAnsi="宋体" w:cs="宋体"/>
                <w:szCs w:val="21"/>
              </w:rPr>
            </w:pPr>
            <w:r>
              <w:rPr>
                <w:rFonts w:hint="eastAsia" w:ascii="宋体" w:hAnsi="宋体" w:cs="宋体"/>
                <w:szCs w:val="21"/>
              </w:rPr>
              <w:t>工业柠檬酸</w:t>
            </w:r>
          </w:p>
        </w:tc>
        <w:tc>
          <w:tcPr>
            <w:tcW w:w="3828" w:type="dxa"/>
            <w:vAlign w:val="center"/>
          </w:tcPr>
          <w:p w14:paraId="525B50A2">
            <w:pPr>
              <w:widowControl/>
              <w:spacing w:line="360" w:lineRule="auto"/>
              <w:jc w:val="left"/>
              <w:rPr>
                <w:rFonts w:hint="eastAsia" w:ascii="宋体" w:hAnsi="宋体" w:cs="宋体"/>
                <w:szCs w:val="21"/>
              </w:rPr>
            </w:pPr>
            <w:r>
              <w:rPr>
                <w:rFonts w:hint="eastAsia" w:ascii="宋体" w:hAnsi="宋体" w:cs="宋体"/>
                <w:szCs w:val="21"/>
              </w:rPr>
              <w:t>25kg/袋，有效含量99%以上</w:t>
            </w:r>
          </w:p>
        </w:tc>
        <w:tc>
          <w:tcPr>
            <w:tcW w:w="992" w:type="dxa"/>
            <w:vAlign w:val="center"/>
          </w:tcPr>
          <w:p w14:paraId="1431295A">
            <w:pPr>
              <w:widowControl/>
              <w:spacing w:line="360" w:lineRule="auto"/>
              <w:jc w:val="center"/>
              <w:rPr>
                <w:rFonts w:hint="eastAsia" w:ascii="宋体" w:hAnsi="宋体" w:cs="宋体"/>
                <w:szCs w:val="21"/>
              </w:rPr>
            </w:pPr>
            <w:r>
              <w:rPr>
                <w:rFonts w:hint="eastAsia" w:ascii="宋体" w:hAnsi="宋体" w:cs="宋体"/>
                <w:szCs w:val="21"/>
              </w:rPr>
              <w:t>10吨</w:t>
            </w:r>
          </w:p>
        </w:tc>
        <w:tc>
          <w:tcPr>
            <w:tcW w:w="1559" w:type="dxa"/>
            <w:noWrap/>
            <w:vAlign w:val="center"/>
          </w:tcPr>
          <w:p w14:paraId="3D0C14A6">
            <w:pPr>
              <w:widowControl/>
              <w:spacing w:line="360" w:lineRule="auto"/>
              <w:jc w:val="center"/>
              <w:rPr>
                <w:rFonts w:hint="default" w:ascii="宋体" w:hAnsi="宋体" w:eastAsia="宋体" w:cs="宋体"/>
                <w:szCs w:val="21"/>
                <w:lang w:val="en-US" w:eastAsia="zh-CN"/>
              </w:rPr>
            </w:pPr>
            <w:r>
              <w:rPr>
                <w:rFonts w:hint="eastAsia" w:ascii="宋体" w:hAnsi="宋体" w:cs="宋体"/>
                <w:szCs w:val="21"/>
                <w:lang w:val="en-US" w:eastAsia="zh-CN"/>
              </w:rPr>
              <w:t>4150</w:t>
            </w:r>
          </w:p>
        </w:tc>
        <w:tc>
          <w:tcPr>
            <w:tcW w:w="1100" w:type="dxa"/>
            <w:vAlign w:val="center"/>
          </w:tcPr>
          <w:p w14:paraId="1380EB91">
            <w:pPr>
              <w:widowControl/>
              <w:spacing w:line="360" w:lineRule="auto"/>
              <w:jc w:val="center"/>
              <w:rPr>
                <w:rFonts w:hint="eastAsia" w:ascii="宋体" w:hAnsi="宋体" w:cs="宋体"/>
                <w:szCs w:val="21"/>
              </w:rPr>
            </w:pPr>
          </w:p>
        </w:tc>
      </w:tr>
    </w:tbl>
    <w:p w14:paraId="6421D40A">
      <w:pPr>
        <w:spacing w:before="156" w:beforeLines="50" w:line="360" w:lineRule="auto"/>
        <w:rPr>
          <w:rFonts w:hint="eastAsia" w:ascii="宋体" w:hAnsi="宋体" w:cs="宋体"/>
          <w:szCs w:val="21"/>
        </w:rPr>
      </w:pPr>
      <w:r>
        <w:rPr>
          <w:rFonts w:hint="eastAsia" w:ascii="宋体" w:hAnsi="宋体" w:cs="宋体"/>
          <w:szCs w:val="21"/>
        </w:rPr>
        <w:t>备注：年度计划采购总量只是参考数量，实际按采购期限供应。</w:t>
      </w:r>
    </w:p>
    <w:p w14:paraId="00D0680A">
      <w:pPr>
        <w:spacing w:line="360" w:lineRule="auto"/>
        <w:rPr>
          <w:rFonts w:hint="eastAsia" w:ascii="宋体" w:hAnsi="宋体"/>
          <w:b/>
          <w:szCs w:val="21"/>
        </w:rPr>
      </w:pPr>
      <w:r>
        <w:rPr>
          <w:rFonts w:hint="eastAsia" w:ascii="宋体" w:hAnsi="宋体"/>
          <w:b/>
          <w:szCs w:val="21"/>
        </w:rPr>
        <w:t>二</w:t>
      </w:r>
      <w:r>
        <w:rPr>
          <w:rFonts w:ascii="宋体" w:hAnsi="宋体"/>
          <w:b/>
          <w:szCs w:val="21"/>
        </w:rPr>
        <w:t>、技术标准</w:t>
      </w:r>
    </w:p>
    <w:p w14:paraId="56340A65">
      <w:pPr>
        <w:pStyle w:val="7"/>
        <w:spacing w:line="360" w:lineRule="auto"/>
        <w:ind w:firstLine="420" w:firstLineChars="200"/>
        <w:rPr>
          <w:rFonts w:hint="eastAsia" w:ascii="宋体" w:hAnsi="宋体"/>
          <w:szCs w:val="21"/>
        </w:rPr>
      </w:pPr>
      <w:r>
        <w:rPr>
          <w:rFonts w:hint="eastAsia" w:ascii="宋体" w:hAnsi="宋体"/>
          <w:szCs w:val="21"/>
          <w:lang w:eastAsia="zh-CN"/>
        </w:rPr>
        <w:t>成交人</w:t>
      </w:r>
      <w:r>
        <w:rPr>
          <w:rFonts w:hint="eastAsia" w:ascii="宋体" w:hAnsi="宋体"/>
          <w:szCs w:val="21"/>
        </w:rPr>
        <w:t>供货产品，必须遵守下列规范和标准，等级要求合格或以上：</w:t>
      </w:r>
    </w:p>
    <w:p w14:paraId="257F9877">
      <w:pPr>
        <w:pStyle w:val="7"/>
        <w:spacing w:line="360" w:lineRule="auto"/>
        <w:ind w:firstLine="420" w:firstLineChars="200"/>
        <w:rPr>
          <w:rFonts w:hint="eastAsia" w:ascii="宋体" w:hAnsi="宋体"/>
          <w:szCs w:val="21"/>
        </w:rPr>
      </w:pPr>
      <w:r>
        <w:rPr>
          <w:rFonts w:hint="eastAsia" w:ascii="宋体" w:hAnsi="宋体"/>
          <w:szCs w:val="21"/>
        </w:rPr>
        <w:t>《工业硫酸》</w:t>
      </w:r>
      <w:r>
        <w:rPr>
          <w:rFonts w:ascii="宋体" w:hAnsi="宋体"/>
        </w:rPr>
        <w:t xml:space="preserve"> </w:t>
      </w:r>
      <w:r>
        <w:rPr>
          <w:rFonts w:ascii="宋体" w:hAnsi="宋体"/>
          <w:szCs w:val="21"/>
        </w:rPr>
        <w:t>GB/T 534-2014</w:t>
      </w:r>
    </w:p>
    <w:p w14:paraId="2B08CF05">
      <w:pPr>
        <w:pStyle w:val="7"/>
        <w:spacing w:line="360" w:lineRule="auto"/>
        <w:ind w:firstLine="420" w:firstLineChars="200"/>
        <w:rPr>
          <w:rFonts w:hint="eastAsia" w:ascii="宋体" w:hAnsi="宋体"/>
          <w:szCs w:val="21"/>
        </w:rPr>
      </w:pPr>
      <w:r>
        <w:rPr>
          <w:rFonts w:hint="eastAsia" w:ascii="宋体" w:hAnsi="宋体"/>
          <w:szCs w:val="21"/>
        </w:rPr>
        <w:t>《工业用合成盐酸》GB/T 320-2006</w:t>
      </w:r>
    </w:p>
    <w:p w14:paraId="0BFAB8BA">
      <w:pPr>
        <w:pStyle w:val="7"/>
        <w:spacing w:line="360" w:lineRule="auto"/>
        <w:ind w:firstLine="420" w:firstLineChars="200"/>
        <w:rPr>
          <w:rFonts w:hint="eastAsia" w:ascii="宋体" w:hAnsi="宋体"/>
          <w:szCs w:val="21"/>
        </w:rPr>
      </w:pPr>
      <w:r>
        <w:rPr>
          <w:rFonts w:hint="eastAsia" w:ascii="宋体" w:hAnsi="宋体"/>
          <w:szCs w:val="21"/>
        </w:rPr>
        <w:t xml:space="preserve">《水处理剂 阴离子和非离子型聚丙烯酰胺》GB/T 17514-2017 </w:t>
      </w:r>
    </w:p>
    <w:p w14:paraId="2C8D7D1B">
      <w:pPr>
        <w:pStyle w:val="7"/>
        <w:spacing w:line="360" w:lineRule="auto"/>
        <w:ind w:firstLine="420" w:firstLineChars="200"/>
        <w:rPr>
          <w:rFonts w:hint="eastAsia" w:ascii="宋体" w:hAnsi="宋体"/>
          <w:szCs w:val="21"/>
        </w:rPr>
      </w:pPr>
      <w:r>
        <w:rPr>
          <w:rFonts w:hint="eastAsia" w:ascii="宋体" w:hAnsi="宋体"/>
          <w:szCs w:val="21"/>
        </w:rPr>
        <w:t>《水处理剂 阳离子型聚丙烯酰胺的技术条件和试验方法》GB/T31246-2014</w:t>
      </w:r>
    </w:p>
    <w:p w14:paraId="4B053DDD">
      <w:pPr>
        <w:pStyle w:val="7"/>
        <w:spacing w:line="360" w:lineRule="auto"/>
        <w:ind w:firstLine="420" w:firstLineChars="200"/>
        <w:rPr>
          <w:rFonts w:hint="eastAsia" w:ascii="宋体" w:hAnsi="宋体"/>
          <w:szCs w:val="21"/>
        </w:rPr>
      </w:pPr>
      <w:r>
        <w:rPr>
          <w:rFonts w:hint="eastAsia" w:ascii="宋体" w:hAnsi="宋体"/>
          <w:szCs w:val="21"/>
        </w:rPr>
        <w:t xml:space="preserve">《工业亚硫酸氢钠》HG/T 3814-2006 </w:t>
      </w:r>
    </w:p>
    <w:p w14:paraId="232324F3">
      <w:pPr>
        <w:pStyle w:val="7"/>
        <w:spacing w:line="360" w:lineRule="auto"/>
        <w:ind w:firstLine="420" w:firstLineChars="200"/>
        <w:rPr>
          <w:rFonts w:hint="eastAsia" w:ascii="宋体" w:hAnsi="宋体"/>
          <w:szCs w:val="21"/>
        </w:rPr>
      </w:pPr>
      <w:r>
        <w:rPr>
          <w:rFonts w:hint="eastAsia" w:ascii="宋体" w:hAnsi="宋体"/>
          <w:szCs w:val="21"/>
        </w:rPr>
        <w:t xml:space="preserve">《工业氨水》HGT 5353-2018 </w:t>
      </w:r>
    </w:p>
    <w:p w14:paraId="164D33B4">
      <w:pPr>
        <w:pStyle w:val="7"/>
        <w:spacing w:line="360" w:lineRule="auto"/>
        <w:ind w:firstLine="420" w:firstLineChars="200"/>
        <w:rPr>
          <w:rFonts w:hint="eastAsia" w:ascii="宋体" w:hAnsi="宋体"/>
          <w:szCs w:val="21"/>
        </w:rPr>
      </w:pPr>
      <w:r>
        <w:rPr>
          <w:rFonts w:hint="eastAsia" w:ascii="宋体" w:hAnsi="宋体"/>
          <w:szCs w:val="21"/>
        </w:rPr>
        <w:t xml:space="preserve">《水处理剂 异噻唑啉酮衍生物》HG/T 3657-2017 </w:t>
      </w:r>
    </w:p>
    <w:p w14:paraId="2AC5476D">
      <w:pPr>
        <w:pStyle w:val="7"/>
        <w:spacing w:line="360" w:lineRule="auto"/>
        <w:ind w:firstLine="420" w:firstLineChars="200"/>
        <w:rPr>
          <w:rFonts w:hint="eastAsia" w:ascii="宋体" w:hAnsi="宋体"/>
          <w:szCs w:val="21"/>
        </w:rPr>
      </w:pPr>
      <w:r>
        <w:rPr>
          <w:rFonts w:hint="eastAsia" w:ascii="宋体" w:hAnsi="宋体"/>
          <w:szCs w:val="21"/>
        </w:rPr>
        <w:t>《工业用合成盐酸》 GB 320-2006</w:t>
      </w:r>
    </w:p>
    <w:p w14:paraId="6D51DB90">
      <w:pPr>
        <w:pStyle w:val="7"/>
        <w:spacing w:line="360" w:lineRule="auto"/>
        <w:ind w:firstLine="420" w:firstLineChars="200"/>
        <w:rPr>
          <w:rFonts w:hint="eastAsia" w:ascii="宋体" w:hAnsi="宋体"/>
          <w:szCs w:val="21"/>
        </w:rPr>
      </w:pPr>
      <w:r>
        <w:rPr>
          <w:rFonts w:hint="eastAsia" w:ascii="宋体" w:hAnsi="宋体"/>
          <w:szCs w:val="21"/>
        </w:rPr>
        <w:t>《工业磷酸三钠》HG/T 2517-2009</w:t>
      </w:r>
    </w:p>
    <w:p w14:paraId="786121A3">
      <w:pPr>
        <w:pStyle w:val="7"/>
        <w:spacing w:line="360" w:lineRule="auto"/>
        <w:ind w:firstLine="420" w:firstLineChars="200"/>
        <w:rPr>
          <w:rFonts w:hint="eastAsia" w:ascii="宋体" w:hAnsi="宋体"/>
          <w:szCs w:val="21"/>
        </w:rPr>
      </w:pPr>
      <w:r>
        <w:rPr>
          <w:rFonts w:hint="eastAsia" w:ascii="宋体" w:hAnsi="宋体"/>
          <w:szCs w:val="21"/>
        </w:rPr>
        <w:t>《工业碳酸钠》GB/T 210-2022</w:t>
      </w:r>
    </w:p>
    <w:p w14:paraId="41547402">
      <w:pPr>
        <w:pStyle w:val="7"/>
        <w:spacing w:line="360" w:lineRule="auto"/>
        <w:ind w:firstLine="420" w:firstLineChars="200"/>
        <w:rPr>
          <w:rFonts w:hint="eastAsia" w:ascii="宋体" w:hAnsi="宋体"/>
          <w:szCs w:val="21"/>
        </w:rPr>
      </w:pPr>
      <w:r>
        <w:rPr>
          <w:rFonts w:hint="eastAsia" w:ascii="宋体" w:hAnsi="宋体"/>
          <w:szCs w:val="21"/>
        </w:rPr>
        <w:t>《工业氯化钙》</w:t>
      </w:r>
      <w:r>
        <w:rPr>
          <w:rFonts w:ascii="宋体" w:hAnsi="宋体"/>
          <w:szCs w:val="21"/>
        </w:rPr>
        <w:t>GB/T 26520-2021</w:t>
      </w:r>
      <w:r>
        <w:rPr>
          <w:rFonts w:hint="eastAsia" w:ascii="宋体" w:hAnsi="宋体"/>
          <w:szCs w:val="21"/>
        </w:rPr>
        <w:t xml:space="preserve"> </w:t>
      </w:r>
    </w:p>
    <w:p w14:paraId="5FF34C10">
      <w:pPr>
        <w:pStyle w:val="7"/>
        <w:spacing w:line="360" w:lineRule="auto"/>
        <w:ind w:firstLine="420" w:firstLineChars="200"/>
        <w:rPr>
          <w:rFonts w:hint="eastAsia" w:ascii="宋体" w:hAnsi="宋体"/>
          <w:szCs w:val="21"/>
        </w:rPr>
      </w:pPr>
      <w:r>
        <w:rPr>
          <w:rFonts w:hint="eastAsia" w:ascii="宋体" w:hAnsi="宋体"/>
          <w:szCs w:val="21"/>
        </w:rPr>
        <w:t>《工业用氢氧化钠》</w:t>
      </w:r>
      <w:r>
        <w:rPr>
          <w:rFonts w:ascii="宋体" w:hAnsi="宋体"/>
          <w:szCs w:val="21"/>
        </w:rPr>
        <w:t>GB/T 209-2018</w:t>
      </w:r>
      <w:r>
        <w:rPr>
          <w:rFonts w:hint="eastAsia" w:ascii="宋体" w:hAnsi="宋体"/>
          <w:szCs w:val="21"/>
        </w:rPr>
        <w:t xml:space="preserve"> </w:t>
      </w:r>
    </w:p>
    <w:p w14:paraId="13B9EBC4">
      <w:pPr>
        <w:pStyle w:val="7"/>
        <w:spacing w:line="360" w:lineRule="auto"/>
        <w:ind w:firstLine="420" w:firstLineChars="200"/>
        <w:rPr>
          <w:rFonts w:hint="eastAsia" w:ascii="宋体" w:hAnsi="宋体"/>
          <w:szCs w:val="21"/>
        </w:rPr>
      </w:pPr>
      <w:r>
        <w:rPr>
          <w:rFonts w:hint="eastAsia" w:ascii="宋体" w:hAnsi="宋体"/>
          <w:szCs w:val="21"/>
        </w:rPr>
        <w:t xml:space="preserve">《食用葡萄糖》GB/T 20880-2018 </w:t>
      </w:r>
    </w:p>
    <w:p w14:paraId="5E966B89">
      <w:pPr>
        <w:pStyle w:val="7"/>
        <w:spacing w:line="360" w:lineRule="auto"/>
        <w:ind w:firstLine="420" w:firstLineChars="200"/>
        <w:rPr>
          <w:rFonts w:hint="eastAsia" w:ascii="宋体" w:hAnsi="宋体"/>
          <w:szCs w:val="21"/>
        </w:rPr>
      </w:pPr>
      <w:r>
        <w:rPr>
          <w:rFonts w:hint="eastAsia" w:ascii="宋体" w:hAnsi="宋体"/>
          <w:szCs w:val="21"/>
        </w:rPr>
        <w:t>以上标准有更新时，按最新标准执行，若未列出标准，</w:t>
      </w:r>
      <w:r>
        <w:rPr>
          <w:rFonts w:hint="eastAsia" w:ascii="宋体" w:hAnsi="宋体"/>
          <w:szCs w:val="21"/>
          <w:lang w:eastAsia="zh-CN"/>
        </w:rPr>
        <w:t>响应人</w:t>
      </w:r>
      <w:r>
        <w:rPr>
          <w:rFonts w:hint="eastAsia" w:ascii="宋体" w:hAnsi="宋体"/>
          <w:szCs w:val="21"/>
        </w:rPr>
        <w:t>须按对应国家或行业标准较高者执行。</w:t>
      </w:r>
    </w:p>
    <w:p w14:paraId="4BA83C7D">
      <w:pPr>
        <w:spacing w:line="360" w:lineRule="auto"/>
        <w:rPr>
          <w:rFonts w:hint="eastAsia" w:ascii="宋体" w:hAnsi="宋体" w:cs="宋体"/>
          <w:b/>
          <w:bCs/>
          <w:sz w:val="22"/>
          <w:szCs w:val="22"/>
        </w:rPr>
      </w:pPr>
      <w:r>
        <w:rPr>
          <w:rFonts w:hint="eastAsia" w:ascii="宋体" w:hAnsi="宋体" w:cs="宋体"/>
          <w:b/>
          <w:bCs/>
          <w:szCs w:val="21"/>
        </w:rPr>
        <w:t>三、包装、运输方式及费用承担</w:t>
      </w:r>
    </w:p>
    <w:p w14:paraId="10255976">
      <w:pPr>
        <w:pStyle w:val="7"/>
        <w:spacing w:line="360" w:lineRule="auto"/>
        <w:ind w:firstLine="420" w:firstLineChars="200"/>
        <w:rPr>
          <w:rFonts w:hint="eastAsia" w:ascii="宋体" w:hAnsi="宋体"/>
          <w:szCs w:val="21"/>
        </w:rPr>
      </w:pPr>
      <w:r>
        <w:rPr>
          <w:rFonts w:hint="eastAsia" w:ascii="宋体" w:hAnsi="宋体"/>
          <w:szCs w:val="21"/>
        </w:rPr>
        <w:t>1、货物的包装：化学品的包装必须满足国家标准《化学试剂 包装及标志》</w:t>
      </w:r>
      <w:r>
        <w:rPr>
          <w:rFonts w:ascii="宋体" w:hAnsi="宋体"/>
          <w:szCs w:val="21"/>
        </w:rPr>
        <w:t>GB 15346-2012</w:t>
      </w:r>
      <w:r>
        <w:rPr>
          <w:rFonts w:hint="eastAsia" w:ascii="宋体" w:hAnsi="宋体"/>
          <w:szCs w:val="21"/>
        </w:rPr>
        <w:t>。对于瓶装或桶装的化学品，其标识必须包含化学品的名称、分子式、有效成分含量及等级、净重、供货厂家、批号，生产日期、有效期、产品质量符合标准的证明和标准编号等信息。对于运送散装化学品的储槽上必须有标识，必须包含化学品的名称等信息，运送人员同时提供产品质量检验报告。</w:t>
      </w:r>
    </w:p>
    <w:p w14:paraId="03E5B360">
      <w:pPr>
        <w:pStyle w:val="7"/>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eastAsia="zh-CN"/>
        </w:rPr>
        <w:t>成交人</w:t>
      </w:r>
      <w:r>
        <w:rPr>
          <w:rFonts w:hint="eastAsia" w:ascii="宋体" w:hAnsi="宋体"/>
          <w:szCs w:val="21"/>
        </w:rPr>
        <w:t>应根据货物的特点及结合现场实际要求，采用合适的运输方式。以上由</w:t>
      </w:r>
      <w:r>
        <w:rPr>
          <w:rFonts w:hint="eastAsia" w:ascii="宋体" w:hAnsi="宋体"/>
          <w:szCs w:val="21"/>
          <w:lang w:eastAsia="zh-CN"/>
        </w:rPr>
        <w:t>成交人</w:t>
      </w:r>
      <w:r>
        <w:rPr>
          <w:rFonts w:hint="eastAsia" w:ascii="宋体" w:hAnsi="宋体"/>
          <w:szCs w:val="21"/>
        </w:rPr>
        <w:t>承担运输及装卸等费用，自行卸货。</w:t>
      </w:r>
    </w:p>
    <w:p w14:paraId="1E1F237F">
      <w:pPr>
        <w:pStyle w:val="7"/>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eastAsia="zh-CN"/>
        </w:rPr>
        <w:t>成交人</w:t>
      </w:r>
      <w:r>
        <w:rPr>
          <w:rFonts w:hint="eastAsia" w:ascii="宋体" w:hAnsi="宋体"/>
          <w:szCs w:val="21"/>
        </w:rPr>
        <w:t>负责将每车次货物运抵采购人指定的厂区地点，货到后</w:t>
      </w:r>
      <w:r>
        <w:rPr>
          <w:rFonts w:hint="eastAsia" w:ascii="宋体" w:hAnsi="宋体"/>
          <w:szCs w:val="21"/>
          <w:lang w:eastAsia="zh-CN"/>
        </w:rPr>
        <w:t>成交人</w:t>
      </w:r>
      <w:r>
        <w:rPr>
          <w:rFonts w:hint="eastAsia" w:ascii="宋体" w:hAnsi="宋体"/>
          <w:szCs w:val="21"/>
        </w:rPr>
        <w:t>需到采购人地磅过磅，并提供该车次产品的签字盖章的出厂化验报告及送货单，过磅后货到采购人指定地点，在采购人完成取样后，方可卸货。卸货后</w:t>
      </w:r>
      <w:r>
        <w:rPr>
          <w:rFonts w:hint="eastAsia" w:ascii="宋体" w:hAnsi="宋体"/>
          <w:szCs w:val="21"/>
          <w:lang w:eastAsia="zh-CN"/>
        </w:rPr>
        <w:t>成交人</w:t>
      </w:r>
      <w:r>
        <w:rPr>
          <w:rFonts w:hint="eastAsia" w:ascii="宋体" w:hAnsi="宋体"/>
          <w:szCs w:val="21"/>
        </w:rPr>
        <w:t>必须再次到采购人地磅过空磅，签字确认并拿取过磅单后，方可离厂。项目指定两人进行收货验收。</w:t>
      </w:r>
    </w:p>
    <w:p w14:paraId="2BA18CC4">
      <w:pPr>
        <w:spacing w:line="360" w:lineRule="auto"/>
        <w:rPr>
          <w:rFonts w:hint="eastAsia" w:ascii="宋体" w:hAnsi="宋体" w:cs="宋体"/>
          <w:b/>
          <w:bCs/>
          <w:szCs w:val="21"/>
        </w:rPr>
      </w:pPr>
      <w:r>
        <w:rPr>
          <w:rFonts w:hint="eastAsia" w:ascii="宋体" w:hAnsi="宋体" w:cs="宋体"/>
          <w:b/>
          <w:bCs/>
          <w:szCs w:val="21"/>
        </w:rPr>
        <w:t>四、检验标准</w:t>
      </w:r>
    </w:p>
    <w:p w14:paraId="6FA1F592">
      <w:pPr>
        <w:pStyle w:val="7"/>
        <w:spacing w:line="360" w:lineRule="auto"/>
        <w:ind w:firstLine="420" w:firstLineChars="200"/>
        <w:rPr>
          <w:rFonts w:hint="eastAsia" w:ascii="宋体" w:hAnsi="宋体"/>
          <w:szCs w:val="21"/>
        </w:rPr>
      </w:pPr>
      <w:r>
        <w:rPr>
          <w:rFonts w:hint="eastAsia" w:ascii="宋体" w:hAnsi="宋体"/>
          <w:szCs w:val="21"/>
        </w:rPr>
        <w:t>按第二点技术标准要求执行。</w:t>
      </w:r>
    </w:p>
    <w:p w14:paraId="3356CEFC">
      <w:pPr>
        <w:spacing w:line="360" w:lineRule="auto"/>
        <w:rPr>
          <w:rFonts w:hint="eastAsia" w:ascii="宋体" w:hAnsi="宋体" w:cs="宋体"/>
          <w:b/>
          <w:bCs/>
          <w:szCs w:val="21"/>
        </w:rPr>
      </w:pPr>
      <w:r>
        <w:rPr>
          <w:rFonts w:hint="eastAsia" w:ascii="宋体" w:hAnsi="宋体" w:cs="宋体"/>
          <w:b/>
          <w:bCs/>
          <w:szCs w:val="21"/>
        </w:rPr>
        <w:t>五、验收及质量要求</w:t>
      </w:r>
    </w:p>
    <w:p w14:paraId="244F7795">
      <w:pPr>
        <w:pStyle w:val="7"/>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eastAsia="zh-CN"/>
        </w:rPr>
        <w:t>成交人</w:t>
      </w:r>
      <w:r>
        <w:rPr>
          <w:rFonts w:hint="eastAsia" w:ascii="宋体" w:hAnsi="宋体"/>
          <w:szCs w:val="21"/>
        </w:rPr>
        <w:t>在送货时，必须提供每一批货物的出厂化验报告及送货单，要求必须签字盖章。无出厂化验报告，禁止入厂。</w:t>
      </w:r>
    </w:p>
    <w:p w14:paraId="17AB6766">
      <w:pPr>
        <w:pStyle w:val="7"/>
        <w:spacing w:line="360" w:lineRule="auto"/>
        <w:ind w:firstLine="420" w:firstLineChars="200"/>
        <w:rPr>
          <w:rFonts w:hint="eastAsia" w:ascii="宋体" w:hAnsi="宋体"/>
          <w:szCs w:val="21"/>
        </w:rPr>
      </w:pPr>
      <w:r>
        <w:rPr>
          <w:rFonts w:hint="eastAsia" w:ascii="宋体" w:hAnsi="宋体"/>
          <w:szCs w:val="21"/>
        </w:rPr>
        <w:t>2、车次过磅后</w:t>
      </w:r>
      <w:r>
        <w:rPr>
          <w:rFonts w:hint="eastAsia" w:ascii="宋体" w:hAnsi="宋体"/>
          <w:szCs w:val="21"/>
          <w:lang w:eastAsia="zh-CN"/>
        </w:rPr>
        <w:t>成交人</w:t>
      </w:r>
      <w:r>
        <w:rPr>
          <w:rFonts w:hint="eastAsia" w:ascii="宋体" w:hAnsi="宋体"/>
          <w:szCs w:val="21"/>
        </w:rPr>
        <w:t>送达产品到采购人指定地点进行抽样取样，每次取样时，供需双方应当共同见证取样，且取样单须经供需双方共同签字签章确认（</w:t>
      </w:r>
      <w:r>
        <w:rPr>
          <w:rFonts w:hint="eastAsia" w:ascii="宋体" w:hAnsi="宋体"/>
          <w:szCs w:val="21"/>
          <w:lang w:eastAsia="zh-CN"/>
        </w:rPr>
        <w:t>成交人</w:t>
      </w:r>
      <w:r>
        <w:rPr>
          <w:rFonts w:hint="eastAsia" w:ascii="宋体" w:hAnsi="宋体"/>
          <w:szCs w:val="21"/>
        </w:rPr>
        <w:t>拒绝派人参加取样或者拒绝签字盖章确认的，不影响采购人取样的效力）。每车次取4份样品（其中1份样品交由采购人实验室检测，1份预备送第三方检测机构进行检测，另外2份样品作为备样交由采购人备存），采购人完成取样并且实验室检测合格后，由</w:t>
      </w:r>
      <w:r>
        <w:rPr>
          <w:rFonts w:hint="eastAsia" w:ascii="宋体" w:hAnsi="宋体"/>
          <w:szCs w:val="21"/>
          <w:lang w:eastAsia="zh-CN"/>
        </w:rPr>
        <w:t>成交人</w:t>
      </w:r>
      <w:r>
        <w:rPr>
          <w:rFonts w:hint="eastAsia" w:ascii="宋体" w:hAnsi="宋体"/>
          <w:szCs w:val="21"/>
        </w:rPr>
        <w:t>负责卸货至采购人指定地点，卸货费用已经包含在合同价款中。卸货后</w:t>
      </w:r>
      <w:r>
        <w:rPr>
          <w:rFonts w:hint="eastAsia" w:ascii="宋体" w:hAnsi="宋体"/>
          <w:szCs w:val="21"/>
          <w:lang w:eastAsia="zh-CN"/>
        </w:rPr>
        <w:t>成交人</w:t>
      </w:r>
      <w:r>
        <w:rPr>
          <w:rFonts w:hint="eastAsia" w:ascii="宋体" w:hAnsi="宋体"/>
          <w:szCs w:val="21"/>
        </w:rPr>
        <w:t>必须再次到采购人地磅过空磅，签字确认并拿取过磅单后，方可离厂。如退货，</w:t>
      </w:r>
      <w:r>
        <w:rPr>
          <w:rFonts w:hint="eastAsia" w:ascii="宋体" w:hAnsi="宋体"/>
          <w:szCs w:val="21"/>
          <w:lang w:eastAsia="zh-CN"/>
        </w:rPr>
        <w:t>成交人</w:t>
      </w:r>
      <w:r>
        <w:rPr>
          <w:rFonts w:hint="eastAsia" w:ascii="宋体" w:hAnsi="宋体"/>
          <w:szCs w:val="21"/>
        </w:rPr>
        <w:t>必须在10小时内将第二车送货到厂。</w:t>
      </w:r>
    </w:p>
    <w:p w14:paraId="25AA667C">
      <w:pPr>
        <w:pStyle w:val="7"/>
        <w:spacing w:line="360" w:lineRule="auto"/>
        <w:ind w:firstLine="420" w:firstLineChars="200"/>
        <w:rPr>
          <w:rFonts w:hint="eastAsia" w:ascii="宋体" w:hAnsi="宋体"/>
          <w:szCs w:val="21"/>
        </w:rPr>
      </w:pPr>
      <w:r>
        <w:rPr>
          <w:rFonts w:hint="eastAsia" w:ascii="宋体" w:hAnsi="宋体"/>
          <w:szCs w:val="21"/>
        </w:rPr>
        <w:t>3、不予收货：经采购人验收不合格的不予收货，</w:t>
      </w:r>
      <w:r>
        <w:rPr>
          <w:rFonts w:hint="eastAsia" w:ascii="宋体" w:hAnsi="宋体"/>
          <w:szCs w:val="21"/>
          <w:lang w:eastAsia="zh-CN"/>
        </w:rPr>
        <w:t>成交人</w:t>
      </w:r>
      <w:r>
        <w:rPr>
          <w:rFonts w:hint="eastAsia" w:ascii="宋体" w:hAnsi="宋体"/>
          <w:szCs w:val="21"/>
        </w:rPr>
        <w:t>有争议的可提请第三检测。</w:t>
      </w:r>
    </w:p>
    <w:p w14:paraId="152A5FE4">
      <w:pPr>
        <w:pStyle w:val="7"/>
        <w:spacing w:line="360" w:lineRule="auto"/>
        <w:ind w:firstLine="420" w:firstLineChars="200"/>
        <w:rPr>
          <w:rFonts w:hint="eastAsia" w:ascii="宋体" w:hAnsi="宋体"/>
          <w:szCs w:val="21"/>
        </w:rPr>
      </w:pPr>
      <w:r>
        <w:rPr>
          <w:rFonts w:hint="eastAsia" w:ascii="宋体" w:hAnsi="宋体"/>
          <w:szCs w:val="21"/>
        </w:rPr>
        <w:t>4、第三方检测：</w:t>
      </w:r>
    </w:p>
    <w:p w14:paraId="15AD7430">
      <w:pPr>
        <w:pStyle w:val="7"/>
        <w:spacing w:line="360" w:lineRule="auto"/>
        <w:ind w:firstLine="420" w:firstLineChars="200"/>
        <w:rPr>
          <w:rFonts w:hint="eastAsia" w:ascii="宋体" w:hAnsi="宋体"/>
          <w:szCs w:val="21"/>
        </w:rPr>
      </w:pPr>
      <w:r>
        <w:rPr>
          <w:rFonts w:hint="eastAsia" w:ascii="宋体" w:hAnsi="宋体"/>
          <w:szCs w:val="21"/>
        </w:rPr>
        <w:t>（1）出现异议货物送第三方检测：如</w:t>
      </w:r>
      <w:r>
        <w:rPr>
          <w:rFonts w:hint="eastAsia" w:ascii="宋体" w:hAnsi="宋体"/>
          <w:szCs w:val="21"/>
          <w:lang w:eastAsia="zh-CN"/>
        </w:rPr>
        <w:t>成交人</w:t>
      </w:r>
      <w:r>
        <w:rPr>
          <w:rFonts w:hint="eastAsia" w:ascii="宋体" w:hAnsi="宋体"/>
          <w:szCs w:val="21"/>
        </w:rPr>
        <w:t>对采购人实验室初步检验结果有异议，则采购人将共同封存的该车次样品由采购人在确定的三家检测单位中指定一家送检。第三方检测结果合格的，检测费用由采购人承担；第三方检测结果不合格的，检测费用由</w:t>
      </w:r>
      <w:r>
        <w:rPr>
          <w:rFonts w:hint="eastAsia" w:ascii="宋体" w:hAnsi="宋体"/>
          <w:szCs w:val="21"/>
          <w:lang w:eastAsia="zh-CN"/>
        </w:rPr>
        <w:t>成交人</w:t>
      </w:r>
      <w:r>
        <w:rPr>
          <w:rFonts w:hint="eastAsia" w:ascii="宋体" w:hAnsi="宋体"/>
          <w:szCs w:val="21"/>
        </w:rPr>
        <w:t>承担（如</w:t>
      </w:r>
      <w:r>
        <w:rPr>
          <w:rFonts w:hint="eastAsia" w:ascii="宋体" w:hAnsi="宋体"/>
          <w:szCs w:val="21"/>
          <w:lang w:eastAsia="zh-CN"/>
        </w:rPr>
        <w:t>成交人</w:t>
      </w:r>
      <w:r>
        <w:rPr>
          <w:rFonts w:hint="eastAsia" w:ascii="宋体" w:hAnsi="宋体"/>
          <w:szCs w:val="21"/>
        </w:rPr>
        <w:t>拒不付款时，采购人有权从应付</w:t>
      </w:r>
      <w:r>
        <w:rPr>
          <w:rFonts w:hint="eastAsia" w:ascii="宋体" w:hAnsi="宋体"/>
          <w:szCs w:val="21"/>
          <w:lang w:eastAsia="zh-CN"/>
        </w:rPr>
        <w:t>成交人</w:t>
      </w:r>
      <w:r>
        <w:rPr>
          <w:rFonts w:hint="eastAsia" w:ascii="宋体" w:hAnsi="宋体"/>
          <w:szCs w:val="21"/>
        </w:rPr>
        <w:t>的货款中直接扣除）。</w:t>
      </w:r>
    </w:p>
    <w:p w14:paraId="3A4F1E6B">
      <w:pPr>
        <w:pStyle w:val="7"/>
        <w:spacing w:line="360" w:lineRule="auto"/>
        <w:ind w:firstLine="420" w:firstLineChars="200"/>
        <w:rPr>
          <w:rFonts w:hint="eastAsia" w:ascii="宋体" w:hAnsi="宋体"/>
          <w:szCs w:val="21"/>
        </w:rPr>
      </w:pPr>
      <w:r>
        <w:rPr>
          <w:rFonts w:hint="eastAsia" w:ascii="宋体" w:hAnsi="宋体"/>
          <w:szCs w:val="21"/>
        </w:rPr>
        <w:t>（2）采购人不定点不定期抽样送第三方检测：</w:t>
      </w:r>
    </w:p>
    <w:p w14:paraId="084EC591">
      <w:pPr>
        <w:pStyle w:val="7"/>
        <w:spacing w:line="360" w:lineRule="auto"/>
        <w:ind w:firstLine="420" w:firstLineChars="200"/>
        <w:rPr>
          <w:rFonts w:hint="eastAsia" w:ascii="宋体" w:hAnsi="宋体"/>
          <w:szCs w:val="21"/>
        </w:rPr>
      </w:pPr>
      <w:r>
        <w:rPr>
          <w:rFonts w:hint="eastAsia" w:ascii="宋体" w:hAnsi="宋体"/>
          <w:szCs w:val="21"/>
        </w:rPr>
        <w:t>采购人有权在合同履行期限内不定期随机抽检，双方见证取样，每车次取4份样品（1份样品送第三方检测机构进行检测，2份样品作为备样交由采购人备存，1份给</w:t>
      </w:r>
      <w:r>
        <w:rPr>
          <w:rFonts w:hint="eastAsia" w:ascii="宋体" w:hAnsi="宋体"/>
          <w:szCs w:val="21"/>
          <w:lang w:eastAsia="zh-CN"/>
        </w:rPr>
        <w:t>成交人</w:t>
      </w:r>
      <w:r>
        <w:rPr>
          <w:rFonts w:hint="eastAsia" w:ascii="宋体" w:hAnsi="宋体"/>
          <w:szCs w:val="21"/>
        </w:rPr>
        <w:t>），由采购人指定检测单位及送检，检测费用由采购人承担。</w:t>
      </w:r>
    </w:p>
    <w:p w14:paraId="764E36D4">
      <w:pPr>
        <w:pStyle w:val="7"/>
        <w:rPr>
          <w:rFonts w:hint="default"/>
          <w:lang w:val="en-US" w:eastAsia="zh-CN"/>
        </w:rPr>
      </w:pPr>
      <w:r>
        <w:rPr>
          <w:rFonts w:hint="eastAsia" w:ascii="宋体" w:hAnsi="宋体"/>
          <w:szCs w:val="21"/>
        </w:rPr>
        <w:t>如采购人验收不合格，经</w:t>
      </w:r>
      <w:r>
        <w:rPr>
          <w:rFonts w:hint="eastAsia" w:ascii="宋体" w:hAnsi="宋体"/>
          <w:szCs w:val="21"/>
          <w:lang w:eastAsia="zh-CN"/>
        </w:rPr>
        <w:t>成交人</w:t>
      </w:r>
      <w:r>
        <w:rPr>
          <w:rFonts w:hint="eastAsia" w:ascii="宋体" w:hAnsi="宋体"/>
          <w:szCs w:val="21"/>
        </w:rPr>
        <w:t>提出异议，经</w:t>
      </w:r>
      <w:r>
        <w:rPr>
          <w:rFonts w:hint="eastAsia" w:ascii="宋体" w:hAnsi="宋体"/>
          <w:szCs w:val="21"/>
          <w:lang w:eastAsia="zh-CN"/>
        </w:rPr>
        <w:t>成交人</w:t>
      </w:r>
      <w:r>
        <w:rPr>
          <w:rFonts w:hint="eastAsia" w:ascii="宋体" w:hAnsi="宋体"/>
          <w:szCs w:val="21"/>
        </w:rPr>
        <w:t>要求并同意采购人收货时，第三方检测后产品不合格。该批次货物不予结算，且</w:t>
      </w:r>
      <w:r>
        <w:rPr>
          <w:rFonts w:hint="eastAsia" w:ascii="宋体" w:hAnsi="宋体"/>
          <w:szCs w:val="21"/>
          <w:lang w:eastAsia="zh-CN"/>
        </w:rPr>
        <w:t>成交人</w:t>
      </w:r>
      <w:r>
        <w:rPr>
          <w:rFonts w:hint="eastAsia" w:ascii="宋体" w:hAnsi="宋体"/>
          <w:szCs w:val="21"/>
        </w:rPr>
        <w:t>须向采购人支付当月货款的2%作为违约金。</w:t>
      </w: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汉仪仿宋简">
    <w:panose1 w:val="02010600000101010101"/>
    <w:charset w:val="86"/>
    <w:family w:val="auto"/>
    <w:pitch w:val="default"/>
    <w:sig w:usb0="00000001" w:usb1="080E0800" w:usb2="00000002"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1282465"/>
    </w:sdtPr>
    <w:sdtContent>
      <w:p w14:paraId="1C48D63A">
        <w:pPr>
          <w:pStyle w:val="11"/>
          <w:spacing w:before="120"/>
          <w:jc w:val="center"/>
        </w:pPr>
      </w:p>
    </w:sdtContent>
  </w:sdt>
  <w:p w14:paraId="765C0D25">
    <w:pPr>
      <w:pStyle w:val="11"/>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9A816">
    <w:pPr>
      <w:pStyle w:val="11"/>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15C722">
    <w:pPr>
      <w:pStyle w:val="11"/>
      <w:spacing w:before="1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371F75">
    <w:pPr>
      <w:pStyle w:val="12"/>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BD9943">
    <w:pPr>
      <w:pStyle w:val="12"/>
      <w:spacing w:before="12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DB37">
    <w:pPr>
      <w:pStyle w:val="12"/>
      <w:spacing w:before="12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80B41B"/>
    <w:multiLevelType w:val="singleLevel"/>
    <w:tmpl w:val="D680B41B"/>
    <w:lvl w:ilvl="0" w:tentative="0">
      <w:start w:val="5"/>
      <w:numFmt w:val="decimal"/>
      <w:suff w:val="nothing"/>
      <w:lvlText w:val="（%1）"/>
      <w:lvlJc w:val="left"/>
    </w:lvl>
  </w:abstractNum>
  <w:abstractNum w:abstractNumId="1">
    <w:nsid w:val="00000001"/>
    <w:multiLevelType w:val="multilevel"/>
    <w:tmpl w:val="00000001"/>
    <w:lvl w:ilvl="0" w:tentative="0">
      <w:start w:val="1"/>
      <w:numFmt w:val="chineseCountingThousand"/>
      <w:lvlText w:val="附件%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E9B9933"/>
    <w:multiLevelType w:val="singleLevel"/>
    <w:tmpl w:val="1E9B9933"/>
    <w:lvl w:ilvl="0" w:tentative="0">
      <w:start w:val="2"/>
      <w:numFmt w:val="chineseCounting"/>
      <w:suff w:val="nothing"/>
      <w:lvlText w:val="%1、"/>
      <w:lvlJc w:val="left"/>
      <w:rPr>
        <w:rFonts w:hint="eastAsia"/>
      </w:rPr>
    </w:lvl>
  </w:abstractNum>
  <w:abstractNum w:abstractNumId="3">
    <w:nsid w:val="6099A159"/>
    <w:multiLevelType w:val="singleLevel"/>
    <w:tmpl w:val="6099A159"/>
    <w:lvl w:ilvl="0" w:tentative="0">
      <w:start w:val="1"/>
      <w:numFmt w:val="decimal"/>
      <w:suff w:val="nothing"/>
      <w:lvlText w:val="%1、"/>
      <w:lvlJc w:val="left"/>
      <w:pPr>
        <w:ind w:left="-1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dit="readOnly" w:formatting="1"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ZmNGE0NjRjYTU2OTJjMjE3ZjcyYmQ3ZmYzYmY2NjcifQ=="/>
  </w:docVars>
  <w:rsids>
    <w:rsidRoot w:val="00172A27"/>
    <w:rsid w:val="000000A3"/>
    <w:rsid w:val="0000339C"/>
    <w:rsid w:val="00005B73"/>
    <w:rsid w:val="00011F4F"/>
    <w:rsid w:val="00012BFA"/>
    <w:rsid w:val="00013A6D"/>
    <w:rsid w:val="0001540B"/>
    <w:rsid w:val="0002213D"/>
    <w:rsid w:val="000229C5"/>
    <w:rsid w:val="00026353"/>
    <w:rsid w:val="00033675"/>
    <w:rsid w:val="000406AF"/>
    <w:rsid w:val="00040A17"/>
    <w:rsid w:val="000437B8"/>
    <w:rsid w:val="00044BA6"/>
    <w:rsid w:val="00046302"/>
    <w:rsid w:val="00046D68"/>
    <w:rsid w:val="00047DAB"/>
    <w:rsid w:val="00052BA7"/>
    <w:rsid w:val="00055419"/>
    <w:rsid w:val="0006112D"/>
    <w:rsid w:val="00063F50"/>
    <w:rsid w:val="00066EBD"/>
    <w:rsid w:val="000748F6"/>
    <w:rsid w:val="00075F9A"/>
    <w:rsid w:val="00077D01"/>
    <w:rsid w:val="000906CA"/>
    <w:rsid w:val="000930FE"/>
    <w:rsid w:val="000941B8"/>
    <w:rsid w:val="0009620F"/>
    <w:rsid w:val="000A0257"/>
    <w:rsid w:val="000A4E34"/>
    <w:rsid w:val="000A5AF5"/>
    <w:rsid w:val="000B0BD3"/>
    <w:rsid w:val="000B1D86"/>
    <w:rsid w:val="000B72CC"/>
    <w:rsid w:val="000C0834"/>
    <w:rsid w:val="000C0A53"/>
    <w:rsid w:val="000C1FBE"/>
    <w:rsid w:val="000C2612"/>
    <w:rsid w:val="000C2B30"/>
    <w:rsid w:val="000C327D"/>
    <w:rsid w:val="000D2A43"/>
    <w:rsid w:val="000D4735"/>
    <w:rsid w:val="000D6353"/>
    <w:rsid w:val="000D7011"/>
    <w:rsid w:val="000E4926"/>
    <w:rsid w:val="000E702E"/>
    <w:rsid w:val="000F0398"/>
    <w:rsid w:val="000F2118"/>
    <w:rsid w:val="000F2FC6"/>
    <w:rsid w:val="000F3A36"/>
    <w:rsid w:val="000F3CED"/>
    <w:rsid w:val="000F6E68"/>
    <w:rsid w:val="00102B2C"/>
    <w:rsid w:val="001057E1"/>
    <w:rsid w:val="00105D40"/>
    <w:rsid w:val="0011037B"/>
    <w:rsid w:val="00110AE9"/>
    <w:rsid w:val="001134D4"/>
    <w:rsid w:val="00113773"/>
    <w:rsid w:val="001156FB"/>
    <w:rsid w:val="001174B6"/>
    <w:rsid w:val="001264A1"/>
    <w:rsid w:val="00127276"/>
    <w:rsid w:val="00132557"/>
    <w:rsid w:val="00135697"/>
    <w:rsid w:val="001367D5"/>
    <w:rsid w:val="00140928"/>
    <w:rsid w:val="00141CA4"/>
    <w:rsid w:val="00142B6B"/>
    <w:rsid w:val="00146152"/>
    <w:rsid w:val="00152F22"/>
    <w:rsid w:val="001572AF"/>
    <w:rsid w:val="001572EE"/>
    <w:rsid w:val="00157353"/>
    <w:rsid w:val="001579D6"/>
    <w:rsid w:val="00162DA0"/>
    <w:rsid w:val="0016352B"/>
    <w:rsid w:val="0016665E"/>
    <w:rsid w:val="00166792"/>
    <w:rsid w:val="00170F98"/>
    <w:rsid w:val="0017142D"/>
    <w:rsid w:val="00171FDE"/>
    <w:rsid w:val="00172A27"/>
    <w:rsid w:val="0017396E"/>
    <w:rsid w:val="00177C3B"/>
    <w:rsid w:val="00180607"/>
    <w:rsid w:val="00181CA2"/>
    <w:rsid w:val="001844CB"/>
    <w:rsid w:val="0018470A"/>
    <w:rsid w:val="00191009"/>
    <w:rsid w:val="001925E5"/>
    <w:rsid w:val="00196466"/>
    <w:rsid w:val="00196F6D"/>
    <w:rsid w:val="00196FE0"/>
    <w:rsid w:val="001A3977"/>
    <w:rsid w:val="001B4CAA"/>
    <w:rsid w:val="001C22FD"/>
    <w:rsid w:val="001C279B"/>
    <w:rsid w:val="001C3C2F"/>
    <w:rsid w:val="001C3EE8"/>
    <w:rsid w:val="001C4205"/>
    <w:rsid w:val="001C6CFB"/>
    <w:rsid w:val="001D0EAA"/>
    <w:rsid w:val="001D49F2"/>
    <w:rsid w:val="001D4F06"/>
    <w:rsid w:val="001D6D2F"/>
    <w:rsid w:val="001E1F75"/>
    <w:rsid w:val="001E5462"/>
    <w:rsid w:val="001E5E43"/>
    <w:rsid w:val="001E6968"/>
    <w:rsid w:val="001F4852"/>
    <w:rsid w:val="001F5118"/>
    <w:rsid w:val="001F529C"/>
    <w:rsid w:val="001F7CAF"/>
    <w:rsid w:val="002000CE"/>
    <w:rsid w:val="002008CC"/>
    <w:rsid w:val="00202F6E"/>
    <w:rsid w:val="00204419"/>
    <w:rsid w:val="00204CA5"/>
    <w:rsid w:val="00205987"/>
    <w:rsid w:val="00205F12"/>
    <w:rsid w:val="0020770D"/>
    <w:rsid w:val="00210BCF"/>
    <w:rsid w:val="002117B0"/>
    <w:rsid w:val="00214FC3"/>
    <w:rsid w:val="00215784"/>
    <w:rsid w:val="00215DF7"/>
    <w:rsid w:val="00217B83"/>
    <w:rsid w:val="00220762"/>
    <w:rsid w:val="002263AD"/>
    <w:rsid w:val="00226577"/>
    <w:rsid w:val="00227F84"/>
    <w:rsid w:val="00230F07"/>
    <w:rsid w:val="00230F3F"/>
    <w:rsid w:val="00231A14"/>
    <w:rsid w:val="00236C79"/>
    <w:rsid w:val="00237233"/>
    <w:rsid w:val="00244C63"/>
    <w:rsid w:val="00251A8B"/>
    <w:rsid w:val="00254E0E"/>
    <w:rsid w:val="00255ACF"/>
    <w:rsid w:val="002569C5"/>
    <w:rsid w:val="00260EC0"/>
    <w:rsid w:val="00263E56"/>
    <w:rsid w:val="0026670C"/>
    <w:rsid w:val="00266C6D"/>
    <w:rsid w:val="0027676D"/>
    <w:rsid w:val="00281E22"/>
    <w:rsid w:val="00284F27"/>
    <w:rsid w:val="002904CB"/>
    <w:rsid w:val="00294EC6"/>
    <w:rsid w:val="002A1845"/>
    <w:rsid w:val="002A40C3"/>
    <w:rsid w:val="002A5A03"/>
    <w:rsid w:val="002A736D"/>
    <w:rsid w:val="002B21AB"/>
    <w:rsid w:val="002C02EB"/>
    <w:rsid w:val="002C1317"/>
    <w:rsid w:val="002D2E75"/>
    <w:rsid w:val="002D3568"/>
    <w:rsid w:val="002D604E"/>
    <w:rsid w:val="002D64BE"/>
    <w:rsid w:val="002D78C2"/>
    <w:rsid w:val="002E2198"/>
    <w:rsid w:val="002E319B"/>
    <w:rsid w:val="002E40BD"/>
    <w:rsid w:val="002E70A3"/>
    <w:rsid w:val="002E777E"/>
    <w:rsid w:val="002E7B26"/>
    <w:rsid w:val="002F2DE0"/>
    <w:rsid w:val="002F3728"/>
    <w:rsid w:val="002F3DE0"/>
    <w:rsid w:val="002F5DC3"/>
    <w:rsid w:val="00301C01"/>
    <w:rsid w:val="003039A2"/>
    <w:rsid w:val="0030640A"/>
    <w:rsid w:val="0031216B"/>
    <w:rsid w:val="0031424A"/>
    <w:rsid w:val="00314845"/>
    <w:rsid w:val="00315A7E"/>
    <w:rsid w:val="00315E82"/>
    <w:rsid w:val="00316C74"/>
    <w:rsid w:val="00317C1A"/>
    <w:rsid w:val="00324101"/>
    <w:rsid w:val="00331421"/>
    <w:rsid w:val="00334365"/>
    <w:rsid w:val="00337AE4"/>
    <w:rsid w:val="0034078F"/>
    <w:rsid w:val="003542F4"/>
    <w:rsid w:val="003547FD"/>
    <w:rsid w:val="00356D07"/>
    <w:rsid w:val="00365A9E"/>
    <w:rsid w:val="003741E3"/>
    <w:rsid w:val="00376CE2"/>
    <w:rsid w:val="003776A2"/>
    <w:rsid w:val="003927F9"/>
    <w:rsid w:val="00396DB6"/>
    <w:rsid w:val="003A10F7"/>
    <w:rsid w:val="003A1866"/>
    <w:rsid w:val="003A3A13"/>
    <w:rsid w:val="003B03C0"/>
    <w:rsid w:val="003B0D49"/>
    <w:rsid w:val="003B233D"/>
    <w:rsid w:val="003B388E"/>
    <w:rsid w:val="003B5489"/>
    <w:rsid w:val="003B5F7B"/>
    <w:rsid w:val="003B6841"/>
    <w:rsid w:val="003C5C24"/>
    <w:rsid w:val="003C5F72"/>
    <w:rsid w:val="003D6FC9"/>
    <w:rsid w:val="003D7944"/>
    <w:rsid w:val="003E2695"/>
    <w:rsid w:val="003E3A3F"/>
    <w:rsid w:val="003E4DE6"/>
    <w:rsid w:val="003E7077"/>
    <w:rsid w:val="003E7F8F"/>
    <w:rsid w:val="003F1A08"/>
    <w:rsid w:val="003F4157"/>
    <w:rsid w:val="003F4F3C"/>
    <w:rsid w:val="003F6F67"/>
    <w:rsid w:val="003F7371"/>
    <w:rsid w:val="00401B6B"/>
    <w:rsid w:val="00405987"/>
    <w:rsid w:val="00407262"/>
    <w:rsid w:val="00412BC5"/>
    <w:rsid w:val="00416DC3"/>
    <w:rsid w:val="00417B6F"/>
    <w:rsid w:val="0042008F"/>
    <w:rsid w:val="004202AB"/>
    <w:rsid w:val="0042266E"/>
    <w:rsid w:val="00422CE1"/>
    <w:rsid w:val="004234B9"/>
    <w:rsid w:val="0043055E"/>
    <w:rsid w:val="004333CD"/>
    <w:rsid w:val="0043627D"/>
    <w:rsid w:val="0043628E"/>
    <w:rsid w:val="004407A6"/>
    <w:rsid w:val="004421F0"/>
    <w:rsid w:val="00443E79"/>
    <w:rsid w:val="0044693C"/>
    <w:rsid w:val="00446E82"/>
    <w:rsid w:val="00451962"/>
    <w:rsid w:val="00452C7D"/>
    <w:rsid w:val="00455511"/>
    <w:rsid w:val="004600BB"/>
    <w:rsid w:val="004623DC"/>
    <w:rsid w:val="004626BB"/>
    <w:rsid w:val="004655CC"/>
    <w:rsid w:val="00466717"/>
    <w:rsid w:val="00474915"/>
    <w:rsid w:val="004801A3"/>
    <w:rsid w:val="00484164"/>
    <w:rsid w:val="0048587B"/>
    <w:rsid w:val="00485FBD"/>
    <w:rsid w:val="00486C6C"/>
    <w:rsid w:val="00487CEB"/>
    <w:rsid w:val="00491E00"/>
    <w:rsid w:val="00495FB1"/>
    <w:rsid w:val="00496744"/>
    <w:rsid w:val="004A0854"/>
    <w:rsid w:val="004A57C5"/>
    <w:rsid w:val="004A699E"/>
    <w:rsid w:val="004A6D16"/>
    <w:rsid w:val="004B4047"/>
    <w:rsid w:val="004B5E15"/>
    <w:rsid w:val="004B758A"/>
    <w:rsid w:val="004C1A98"/>
    <w:rsid w:val="004D211B"/>
    <w:rsid w:val="004D449D"/>
    <w:rsid w:val="004D4664"/>
    <w:rsid w:val="004D5FBF"/>
    <w:rsid w:val="004D7DFB"/>
    <w:rsid w:val="004E4EED"/>
    <w:rsid w:val="004E5A15"/>
    <w:rsid w:val="004E611C"/>
    <w:rsid w:val="004F2DA5"/>
    <w:rsid w:val="004F344F"/>
    <w:rsid w:val="004F35A3"/>
    <w:rsid w:val="004F4463"/>
    <w:rsid w:val="004F5933"/>
    <w:rsid w:val="004F79AF"/>
    <w:rsid w:val="00500A4A"/>
    <w:rsid w:val="00502FEB"/>
    <w:rsid w:val="00503C31"/>
    <w:rsid w:val="00504A13"/>
    <w:rsid w:val="00506B17"/>
    <w:rsid w:val="00510421"/>
    <w:rsid w:val="00510BFB"/>
    <w:rsid w:val="00513E90"/>
    <w:rsid w:val="005172C5"/>
    <w:rsid w:val="00520138"/>
    <w:rsid w:val="00520C9B"/>
    <w:rsid w:val="00522726"/>
    <w:rsid w:val="005260B4"/>
    <w:rsid w:val="00531FA3"/>
    <w:rsid w:val="005371FF"/>
    <w:rsid w:val="0053789A"/>
    <w:rsid w:val="00541B68"/>
    <w:rsid w:val="00546C67"/>
    <w:rsid w:val="00552739"/>
    <w:rsid w:val="0056054C"/>
    <w:rsid w:val="00565B17"/>
    <w:rsid w:val="005778D3"/>
    <w:rsid w:val="00577E08"/>
    <w:rsid w:val="0058123D"/>
    <w:rsid w:val="00583AD2"/>
    <w:rsid w:val="00585A78"/>
    <w:rsid w:val="005900ED"/>
    <w:rsid w:val="00590112"/>
    <w:rsid w:val="0059624F"/>
    <w:rsid w:val="00596E46"/>
    <w:rsid w:val="005A6A9A"/>
    <w:rsid w:val="005A74C6"/>
    <w:rsid w:val="005B2CF0"/>
    <w:rsid w:val="005B48FC"/>
    <w:rsid w:val="005B5557"/>
    <w:rsid w:val="005C0CE3"/>
    <w:rsid w:val="005C6227"/>
    <w:rsid w:val="005C6EA8"/>
    <w:rsid w:val="005C7810"/>
    <w:rsid w:val="005D35AA"/>
    <w:rsid w:val="005D3E6E"/>
    <w:rsid w:val="005D7E61"/>
    <w:rsid w:val="005E0EA3"/>
    <w:rsid w:val="005E16F7"/>
    <w:rsid w:val="005E1C0B"/>
    <w:rsid w:val="005E32B9"/>
    <w:rsid w:val="005E441A"/>
    <w:rsid w:val="005E5558"/>
    <w:rsid w:val="005E6529"/>
    <w:rsid w:val="005F1911"/>
    <w:rsid w:val="005F3BDE"/>
    <w:rsid w:val="00600AE6"/>
    <w:rsid w:val="00602626"/>
    <w:rsid w:val="006064A6"/>
    <w:rsid w:val="00610E99"/>
    <w:rsid w:val="00611986"/>
    <w:rsid w:val="006155F4"/>
    <w:rsid w:val="00616DD2"/>
    <w:rsid w:val="00622BE3"/>
    <w:rsid w:val="00622CFE"/>
    <w:rsid w:val="00632F43"/>
    <w:rsid w:val="0063300F"/>
    <w:rsid w:val="00633DF9"/>
    <w:rsid w:val="0063550A"/>
    <w:rsid w:val="00647CD4"/>
    <w:rsid w:val="00655CF7"/>
    <w:rsid w:val="00664575"/>
    <w:rsid w:val="006662F0"/>
    <w:rsid w:val="00666C57"/>
    <w:rsid w:val="00681A43"/>
    <w:rsid w:val="00681EC9"/>
    <w:rsid w:val="00685624"/>
    <w:rsid w:val="006903E3"/>
    <w:rsid w:val="0069444D"/>
    <w:rsid w:val="006A0EC1"/>
    <w:rsid w:val="006A33C7"/>
    <w:rsid w:val="006A736D"/>
    <w:rsid w:val="006B26FB"/>
    <w:rsid w:val="006B4C1F"/>
    <w:rsid w:val="006B4CED"/>
    <w:rsid w:val="006B507A"/>
    <w:rsid w:val="006B7469"/>
    <w:rsid w:val="006B75C4"/>
    <w:rsid w:val="006C1E2C"/>
    <w:rsid w:val="006D0011"/>
    <w:rsid w:val="006D25DC"/>
    <w:rsid w:val="006D27EF"/>
    <w:rsid w:val="006D2FC6"/>
    <w:rsid w:val="006D4357"/>
    <w:rsid w:val="006D4810"/>
    <w:rsid w:val="006D4BC0"/>
    <w:rsid w:val="006D7A45"/>
    <w:rsid w:val="006E0C5E"/>
    <w:rsid w:val="006E25F2"/>
    <w:rsid w:val="006E4779"/>
    <w:rsid w:val="006E4796"/>
    <w:rsid w:val="006E4D47"/>
    <w:rsid w:val="006F0353"/>
    <w:rsid w:val="006F1310"/>
    <w:rsid w:val="006F21E4"/>
    <w:rsid w:val="006F2A12"/>
    <w:rsid w:val="006F534E"/>
    <w:rsid w:val="006F54BF"/>
    <w:rsid w:val="0070054D"/>
    <w:rsid w:val="007034C7"/>
    <w:rsid w:val="00703719"/>
    <w:rsid w:val="00703AD4"/>
    <w:rsid w:val="00705A9F"/>
    <w:rsid w:val="00705FD2"/>
    <w:rsid w:val="00706036"/>
    <w:rsid w:val="0071376E"/>
    <w:rsid w:val="00715CF6"/>
    <w:rsid w:val="00721328"/>
    <w:rsid w:val="007214BF"/>
    <w:rsid w:val="00727DFA"/>
    <w:rsid w:val="0073117E"/>
    <w:rsid w:val="00732A88"/>
    <w:rsid w:val="007423FF"/>
    <w:rsid w:val="0074293F"/>
    <w:rsid w:val="00742C65"/>
    <w:rsid w:val="00743008"/>
    <w:rsid w:val="00744E20"/>
    <w:rsid w:val="007469CE"/>
    <w:rsid w:val="0075132A"/>
    <w:rsid w:val="007523F5"/>
    <w:rsid w:val="00754246"/>
    <w:rsid w:val="00757900"/>
    <w:rsid w:val="00760B26"/>
    <w:rsid w:val="00762AD9"/>
    <w:rsid w:val="00770201"/>
    <w:rsid w:val="0077406B"/>
    <w:rsid w:val="00776E83"/>
    <w:rsid w:val="00782C1C"/>
    <w:rsid w:val="007855FF"/>
    <w:rsid w:val="00786D41"/>
    <w:rsid w:val="007878BE"/>
    <w:rsid w:val="00790782"/>
    <w:rsid w:val="007912C8"/>
    <w:rsid w:val="00791FC9"/>
    <w:rsid w:val="00792AAE"/>
    <w:rsid w:val="00794FF8"/>
    <w:rsid w:val="00796823"/>
    <w:rsid w:val="00797538"/>
    <w:rsid w:val="00797AC3"/>
    <w:rsid w:val="007A190D"/>
    <w:rsid w:val="007A58A1"/>
    <w:rsid w:val="007A5A05"/>
    <w:rsid w:val="007A6F63"/>
    <w:rsid w:val="007B2038"/>
    <w:rsid w:val="007C3D61"/>
    <w:rsid w:val="007C518E"/>
    <w:rsid w:val="007C5DB3"/>
    <w:rsid w:val="007C6D1F"/>
    <w:rsid w:val="007D4967"/>
    <w:rsid w:val="007D5B1B"/>
    <w:rsid w:val="007E314C"/>
    <w:rsid w:val="007E31BF"/>
    <w:rsid w:val="007F359B"/>
    <w:rsid w:val="007F6003"/>
    <w:rsid w:val="007F6810"/>
    <w:rsid w:val="008107BC"/>
    <w:rsid w:val="008107C9"/>
    <w:rsid w:val="00812090"/>
    <w:rsid w:val="008139B0"/>
    <w:rsid w:val="00821972"/>
    <w:rsid w:val="00830290"/>
    <w:rsid w:val="008350F5"/>
    <w:rsid w:val="00835C88"/>
    <w:rsid w:val="008414F8"/>
    <w:rsid w:val="008425E2"/>
    <w:rsid w:val="00843086"/>
    <w:rsid w:val="00844DBC"/>
    <w:rsid w:val="00847E4A"/>
    <w:rsid w:val="00853482"/>
    <w:rsid w:val="00853C43"/>
    <w:rsid w:val="00854DD0"/>
    <w:rsid w:val="00854E40"/>
    <w:rsid w:val="008558E9"/>
    <w:rsid w:val="008628B6"/>
    <w:rsid w:val="008649CD"/>
    <w:rsid w:val="0086677E"/>
    <w:rsid w:val="00867B1A"/>
    <w:rsid w:val="00867BC7"/>
    <w:rsid w:val="00874C9C"/>
    <w:rsid w:val="00876AD1"/>
    <w:rsid w:val="00880193"/>
    <w:rsid w:val="00880D0D"/>
    <w:rsid w:val="0088194E"/>
    <w:rsid w:val="00883D24"/>
    <w:rsid w:val="00884B5D"/>
    <w:rsid w:val="00885FDC"/>
    <w:rsid w:val="00891391"/>
    <w:rsid w:val="008924EB"/>
    <w:rsid w:val="008A17BF"/>
    <w:rsid w:val="008A308C"/>
    <w:rsid w:val="008A3D57"/>
    <w:rsid w:val="008B0C71"/>
    <w:rsid w:val="008B2A74"/>
    <w:rsid w:val="008B3285"/>
    <w:rsid w:val="008B41A6"/>
    <w:rsid w:val="008B58BB"/>
    <w:rsid w:val="008C4B79"/>
    <w:rsid w:val="008C69A2"/>
    <w:rsid w:val="008D1332"/>
    <w:rsid w:val="008D4710"/>
    <w:rsid w:val="008D6B16"/>
    <w:rsid w:val="008E0E6B"/>
    <w:rsid w:val="008E14C6"/>
    <w:rsid w:val="008E16C6"/>
    <w:rsid w:val="008E195B"/>
    <w:rsid w:val="008E52AB"/>
    <w:rsid w:val="008E57B6"/>
    <w:rsid w:val="008E718F"/>
    <w:rsid w:val="008E742C"/>
    <w:rsid w:val="008F00D0"/>
    <w:rsid w:val="008F20FE"/>
    <w:rsid w:val="008F36EF"/>
    <w:rsid w:val="008F44F8"/>
    <w:rsid w:val="008F63E9"/>
    <w:rsid w:val="00902E6B"/>
    <w:rsid w:val="00904436"/>
    <w:rsid w:val="00904CD4"/>
    <w:rsid w:val="00913C1B"/>
    <w:rsid w:val="009168C2"/>
    <w:rsid w:val="00916B13"/>
    <w:rsid w:val="00917F7A"/>
    <w:rsid w:val="00926ED4"/>
    <w:rsid w:val="00927186"/>
    <w:rsid w:val="00932C9F"/>
    <w:rsid w:val="009334DE"/>
    <w:rsid w:val="009438E7"/>
    <w:rsid w:val="00943A2D"/>
    <w:rsid w:val="00956102"/>
    <w:rsid w:val="00956201"/>
    <w:rsid w:val="00957B3A"/>
    <w:rsid w:val="009615F7"/>
    <w:rsid w:val="009707FB"/>
    <w:rsid w:val="00973B33"/>
    <w:rsid w:val="00976BA7"/>
    <w:rsid w:val="00981DC2"/>
    <w:rsid w:val="00982847"/>
    <w:rsid w:val="009833A7"/>
    <w:rsid w:val="00985E72"/>
    <w:rsid w:val="0098720A"/>
    <w:rsid w:val="00987F9D"/>
    <w:rsid w:val="00990E62"/>
    <w:rsid w:val="00997ACF"/>
    <w:rsid w:val="009A09F3"/>
    <w:rsid w:val="009A2F74"/>
    <w:rsid w:val="009A5231"/>
    <w:rsid w:val="009A77B4"/>
    <w:rsid w:val="009B0DC5"/>
    <w:rsid w:val="009B1938"/>
    <w:rsid w:val="009B38A1"/>
    <w:rsid w:val="009B3D46"/>
    <w:rsid w:val="009B5312"/>
    <w:rsid w:val="009B7AE1"/>
    <w:rsid w:val="009C083C"/>
    <w:rsid w:val="009C0C2E"/>
    <w:rsid w:val="009C29A5"/>
    <w:rsid w:val="009C6F7D"/>
    <w:rsid w:val="009D14DA"/>
    <w:rsid w:val="009D3E22"/>
    <w:rsid w:val="009E3878"/>
    <w:rsid w:val="009E38FC"/>
    <w:rsid w:val="009E737B"/>
    <w:rsid w:val="009E7FAB"/>
    <w:rsid w:val="009F03D0"/>
    <w:rsid w:val="009F7302"/>
    <w:rsid w:val="00A057AD"/>
    <w:rsid w:val="00A067B9"/>
    <w:rsid w:val="00A07462"/>
    <w:rsid w:val="00A11CF1"/>
    <w:rsid w:val="00A1308E"/>
    <w:rsid w:val="00A133D8"/>
    <w:rsid w:val="00A16752"/>
    <w:rsid w:val="00A23C70"/>
    <w:rsid w:val="00A23E2D"/>
    <w:rsid w:val="00A25FAB"/>
    <w:rsid w:val="00A2618C"/>
    <w:rsid w:val="00A27164"/>
    <w:rsid w:val="00A31649"/>
    <w:rsid w:val="00A31F87"/>
    <w:rsid w:val="00A34A4A"/>
    <w:rsid w:val="00A422CB"/>
    <w:rsid w:val="00A46C5D"/>
    <w:rsid w:val="00A4775F"/>
    <w:rsid w:val="00A50335"/>
    <w:rsid w:val="00A516BD"/>
    <w:rsid w:val="00A547F5"/>
    <w:rsid w:val="00A54D35"/>
    <w:rsid w:val="00A55473"/>
    <w:rsid w:val="00A5742F"/>
    <w:rsid w:val="00A63FA2"/>
    <w:rsid w:val="00A64563"/>
    <w:rsid w:val="00A66B3C"/>
    <w:rsid w:val="00A66DD5"/>
    <w:rsid w:val="00A72693"/>
    <w:rsid w:val="00A823E3"/>
    <w:rsid w:val="00A843A6"/>
    <w:rsid w:val="00A85934"/>
    <w:rsid w:val="00A861A2"/>
    <w:rsid w:val="00A86C67"/>
    <w:rsid w:val="00A920B0"/>
    <w:rsid w:val="00A92FA0"/>
    <w:rsid w:val="00A95B2F"/>
    <w:rsid w:val="00A95CB0"/>
    <w:rsid w:val="00A96590"/>
    <w:rsid w:val="00AA0328"/>
    <w:rsid w:val="00AA1992"/>
    <w:rsid w:val="00AA301E"/>
    <w:rsid w:val="00AA69D6"/>
    <w:rsid w:val="00AB24A2"/>
    <w:rsid w:val="00AB4398"/>
    <w:rsid w:val="00AB52FE"/>
    <w:rsid w:val="00AB763E"/>
    <w:rsid w:val="00AC2985"/>
    <w:rsid w:val="00AC3A72"/>
    <w:rsid w:val="00AD0D60"/>
    <w:rsid w:val="00AD1670"/>
    <w:rsid w:val="00AD2C6E"/>
    <w:rsid w:val="00AD72DD"/>
    <w:rsid w:val="00AE0880"/>
    <w:rsid w:val="00AE0DB1"/>
    <w:rsid w:val="00AE604A"/>
    <w:rsid w:val="00AF04F6"/>
    <w:rsid w:val="00AF089C"/>
    <w:rsid w:val="00AF4255"/>
    <w:rsid w:val="00AF6D90"/>
    <w:rsid w:val="00B0168C"/>
    <w:rsid w:val="00B042D2"/>
    <w:rsid w:val="00B04A3E"/>
    <w:rsid w:val="00B07474"/>
    <w:rsid w:val="00B07D64"/>
    <w:rsid w:val="00B132E4"/>
    <w:rsid w:val="00B13B0A"/>
    <w:rsid w:val="00B14C6E"/>
    <w:rsid w:val="00B17DED"/>
    <w:rsid w:val="00B20140"/>
    <w:rsid w:val="00B218FE"/>
    <w:rsid w:val="00B21C59"/>
    <w:rsid w:val="00B2526B"/>
    <w:rsid w:val="00B25EE6"/>
    <w:rsid w:val="00B32881"/>
    <w:rsid w:val="00B41981"/>
    <w:rsid w:val="00B41A9A"/>
    <w:rsid w:val="00B4372A"/>
    <w:rsid w:val="00B43BAC"/>
    <w:rsid w:val="00B44693"/>
    <w:rsid w:val="00B56083"/>
    <w:rsid w:val="00B57A9D"/>
    <w:rsid w:val="00B62A41"/>
    <w:rsid w:val="00B670D1"/>
    <w:rsid w:val="00B736FF"/>
    <w:rsid w:val="00B75E79"/>
    <w:rsid w:val="00B75F0E"/>
    <w:rsid w:val="00B77A5D"/>
    <w:rsid w:val="00B80B4D"/>
    <w:rsid w:val="00B81FBD"/>
    <w:rsid w:val="00B85ADE"/>
    <w:rsid w:val="00B86D72"/>
    <w:rsid w:val="00B87690"/>
    <w:rsid w:val="00B9040F"/>
    <w:rsid w:val="00B94B7E"/>
    <w:rsid w:val="00B97EA6"/>
    <w:rsid w:val="00BA1D82"/>
    <w:rsid w:val="00BA203C"/>
    <w:rsid w:val="00BA241E"/>
    <w:rsid w:val="00BB1012"/>
    <w:rsid w:val="00BB1105"/>
    <w:rsid w:val="00BB21E0"/>
    <w:rsid w:val="00BB47D9"/>
    <w:rsid w:val="00BC078B"/>
    <w:rsid w:val="00BC1A2B"/>
    <w:rsid w:val="00BC5D73"/>
    <w:rsid w:val="00BC7023"/>
    <w:rsid w:val="00BD3497"/>
    <w:rsid w:val="00BD3732"/>
    <w:rsid w:val="00BD5ED0"/>
    <w:rsid w:val="00BE2EAB"/>
    <w:rsid w:val="00BE62A7"/>
    <w:rsid w:val="00BE62B0"/>
    <w:rsid w:val="00BF0FB2"/>
    <w:rsid w:val="00BF1645"/>
    <w:rsid w:val="00BF1F64"/>
    <w:rsid w:val="00BF23C9"/>
    <w:rsid w:val="00BF2792"/>
    <w:rsid w:val="00BF4097"/>
    <w:rsid w:val="00BF7B3D"/>
    <w:rsid w:val="00C101B5"/>
    <w:rsid w:val="00C11D94"/>
    <w:rsid w:val="00C11DF6"/>
    <w:rsid w:val="00C1317C"/>
    <w:rsid w:val="00C139AD"/>
    <w:rsid w:val="00C177F2"/>
    <w:rsid w:val="00C210A9"/>
    <w:rsid w:val="00C2260F"/>
    <w:rsid w:val="00C231D2"/>
    <w:rsid w:val="00C2782C"/>
    <w:rsid w:val="00C33CF5"/>
    <w:rsid w:val="00C37299"/>
    <w:rsid w:val="00C441A7"/>
    <w:rsid w:val="00C52C93"/>
    <w:rsid w:val="00C53E7A"/>
    <w:rsid w:val="00C60158"/>
    <w:rsid w:val="00C72ECE"/>
    <w:rsid w:val="00C745A0"/>
    <w:rsid w:val="00C7503F"/>
    <w:rsid w:val="00C76611"/>
    <w:rsid w:val="00C84880"/>
    <w:rsid w:val="00C84B68"/>
    <w:rsid w:val="00C85FDF"/>
    <w:rsid w:val="00C862EF"/>
    <w:rsid w:val="00C86EDD"/>
    <w:rsid w:val="00C91551"/>
    <w:rsid w:val="00C92F95"/>
    <w:rsid w:val="00C9344C"/>
    <w:rsid w:val="00C95899"/>
    <w:rsid w:val="00CA2AB5"/>
    <w:rsid w:val="00CA4984"/>
    <w:rsid w:val="00CB0AD4"/>
    <w:rsid w:val="00CB169A"/>
    <w:rsid w:val="00CB2203"/>
    <w:rsid w:val="00CC2FA8"/>
    <w:rsid w:val="00CC6B2E"/>
    <w:rsid w:val="00CD057C"/>
    <w:rsid w:val="00CD34AB"/>
    <w:rsid w:val="00CD4DD7"/>
    <w:rsid w:val="00CE1FAF"/>
    <w:rsid w:val="00CE2BC2"/>
    <w:rsid w:val="00CE3012"/>
    <w:rsid w:val="00CE61FA"/>
    <w:rsid w:val="00CE7B00"/>
    <w:rsid w:val="00CF0C8F"/>
    <w:rsid w:val="00CF7579"/>
    <w:rsid w:val="00D01B6B"/>
    <w:rsid w:val="00D0595D"/>
    <w:rsid w:val="00D06C29"/>
    <w:rsid w:val="00D139DF"/>
    <w:rsid w:val="00D2717E"/>
    <w:rsid w:val="00D2749D"/>
    <w:rsid w:val="00D30A88"/>
    <w:rsid w:val="00D320E7"/>
    <w:rsid w:val="00D33903"/>
    <w:rsid w:val="00D33E8C"/>
    <w:rsid w:val="00D366B7"/>
    <w:rsid w:val="00D367D9"/>
    <w:rsid w:val="00D40A5E"/>
    <w:rsid w:val="00D41002"/>
    <w:rsid w:val="00D45A27"/>
    <w:rsid w:val="00D46E62"/>
    <w:rsid w:val="00D52541"/>
    <w:rsid w:val="00D57111"/>
    <w:rsid w:val="00D62CB6"/>
    <w:rsid w:val="00D65ACB"/>
    <w:rsid w:val="00D67779"/>
    <w:rsid w:val="00D75180"/>
    <w:rsid w:val="00D778C2"/>
    <w:rsid w:val="00D808B0"/>
    <w:rsid w:val="00D814B6"/>
    <w:rsid w:val="00D828A6"/>
    <w:rsid w:val="00D82AC3"/>
    <w:rsid w:val="00D8399F"/>
    <w:rsid w:val="00D84622"/>
    <w:rsid w:val="00D85454"/>
    <w:rsid w:val="00D862F8"/>
    <w:rsid w:val="00D87CFA"/>
    <w:rsid w:val="00D90228"/>
    <w:rsid w:val="00D9132D"/>
    <w:rsid w:val="00D937D4"/>
    <w:rsid w:val="00D9527A"/>
    <w:rsid w:val="00D966DE"/>
    <w:rsid w:val="00D97F94"/>
    <w:rsid w:val="00DA15E1"/>
    <w:rsid w:val="00DA502E"/>
    <w:rsid w:val="00DA5E27"/>
    <w:rsid w:val="00DA773E"/>
    <w:rsid w:val="00DA7E5B"/>
    <w:rsid w:val="00DB0309"/>
    <w:rsid w:val="00DB11D7"/>
    <w:rsid w:val="00DB137D"/>
    <w:rsid w:val="00DB25FB"/>
    <w:rsid w:val="00DB3AA9"/>
    <w:rsid w:val="00DB3C39"/>
    <w:rsid w:val="00DB6297"/>
    <w:rsid w:val="00DB6E4E"/>
    <w:rsid w:val="00DC2454"/>
    <w:rsid w:val="00DD2931"/>
    <w:rsid w:val="00DD2DB5"/>
    <w:rsid w:val="00DD2E0C"/>
    <w:rsid w:val="00DD3DB6"/>
    <w:rsid w:val="00DE3D22"/>
    <w:rsid w:val="00DE654E"/>
    <w:rsid w:val="00DE72B9"/>
    <w:rsid w:val="00DF175E"/>
    <w:rsid w:val="00DF4ECA"/>
    <w:rsid w:val="00DF5183"/>
    <w:rsid w:val="00E0775D"/>
    <w:rsid w:val="00E17318"/>
    <w:rsid w:val="00E20047"/>
    <w:rsid w:val="00E20288"/>
    <w:rsid w:val="00E221A0"/>
    <w:rsid w:val="00E23760"/>
    <w:rsid w:val="00E32594"/>
    <w:rsid w:val="00E33F22"/>
    <w:rsid w:val="00E444B2"/>
    <w:rsid w:val="00E44874"/>
    <w:rsid w:val="00E453F0"/>
    <w:rsid w:val="00E50267"/>
    <w:rsid w:val="00E55C56"/>
    <w:rsid w:val="00E6203A"/>
    <w:rsid w:val="00E678F0"/>
    <w:rsid w:val="00E70F8E"/>
    <w:rsid w:val="00E727ED"/>
    <w:rsid w:val="00E74FAF"/>
    <w:rsid w:val="00E757DE"/>
    <w:rsid w:val="00E766E5"/>
    <w:rsid w:val="00E76DF9"/>
    <w:rsid w:val="00E83B51"/>
    <w:rsid w:val="00E85B55"/>
    <w:rsid w:val="00E91BC8"/>
    <w:rsid w:val="00E92F38"/>
    <w:rsid w:val="00E933C5"/>
    <w:rsid w:val="00E93B7A"/>
    <w:rsid w:val="00E97B88"/>
    <w:rsid w:val="00EA6B31"/>
    <w:rsid w:val="00EB1199"/>
    <w:rsid w:val="00EB18BE"/>
    <w:rsid w:val="00EB3FB9"/>
    <w:rsid w:val="00EB6AAA"/>
    <w:rsid w:val="00EC0694"/>
    <w:rsid w:val="00EC0C11"/>
    <w:rsid w:val="00EC5723"/>
    <w:rsid w:val="00EC7179"/>
    <w:rsid w:val="00ED09BE"/>
    <w:rsid w:val="00ED3944"/>
    <w:rsid w:val="00ED5E73"/>
    <w:rsid w:val="00EE3CD9"/>
    <w:rsid w:val="00EE5B35"/>
    <w:rsid w:val="00EE7FAE"/>
    <w:rsid w:val="00EF0335"/>
    <w:rsid w:val="00EF2F76"/>
    <w:rsid w:val="00EF416D"/>
    <w:rsid w:val="00EF7C58"/>
    <w:rsid w:val="00F003C8"/>
    <w:rsid w:val="00F01434"/>
    <w:rsid w:val="00F11FC6"/>
    <w:rsid w:val="00F13C21"/>
    <w:rsid w:val="00F15584"/>
    <w:rsid w:val="00F22AF7"/>
    <w:rsid w:val="00F22CC5"/>
    <w:rsid w:val="00F236A2"/>
    <w:rsid w:val="00F26135"/>
    <w:rsid w:val="00F267D9"/>
    <w:rsid w:val="00F2684B"/>
    <w:rsid w:val="00F273CD"/>
    <w:rsid w:val="00F27EC3"/>
    <w:rsid w:val="00F301A1"/>
    <w:rsid w:val="00F30424"/>
    <w:rsid w:val="00F35D52"/>
    <w:rsid w:val="00F370E0"/>
    <w:rsid w:val="00F439F7"/>
    <w:rsid w:val="00F45042"/>
    <w:rsid w:val="00F46A70"/>
    <w:rsid w:val="00F51C97"/>
    <w:rsid w:val="00F52AEA"/>
    <w:rsid w:val="00F541AB"/>
    <w:rsid w:val="00F55724"/>
    <w:rsid w:val="00F557B4"/>
    <w:rsid w:val="00F57689"/>
    <w:rsid w:val="00F608BD"/>
    <w:rsid w:val="00F617FE"/>
    <w:rsid w:val="00F64A4E"/>
    <w:rsid w:val="00F64E40"/>
    <w:rsid w:val="00F77591"/>
    <w:rsid w:val="00F81C2D"/>
    <w:rsid w:val="00F842E6"/>
    <w:rsid w:val="00F917E6"/>
    <w:rsid w:val="00F94850"/>
    <w:rsid w:val="00F94C15"/>
    <w:rsid w:val="00F95D9F"/>
    <w:rsid w:val="00F95EF1"/>
    <w:rsid w:val="00F97E28"/>
    <w:rsid w:val="00FA3C32"/>
    <w:rsid w:val="00FB196C"/>
    <w:rsid w:val="00FB1DFB"/>
    <w:rsid w:val="00FB2FDD"/>
    <w:rsid w:val="00FB608A"/>
    <w:rsid w:val="00FB75CE"/>
    <w:rsid w:val="00FC1F0E"/>
    <w:rsid w:val="00FC7D84"/>
    <w:rsid w:val="00FD326B"/>
    <w:rsid w:val="00FD4D18"/>
    <w:rsid w:val="00FD5081"/>
    <w:rsid w:val="00FD50D4"/>
    <w:rsid w:val="00FD6094"/>
    <w:rsid w:val="0146532B"/>
    <w:rsid w:val="015A3E68"/>
    <w:rsid w:val="016320EC"/>
    <w:rsid w:val="01785B98"/>
    <w:rsid w:val="018A2978"/>
    <w:rsid w:val="01A53138"/>
    <w:rsid w:val="01D033E4"/>
    <w:rsid w:val="01E9256F"/>
    <w:rsid w:val="01F91325"/>
    <w:rsid w:val="0204131B"/>
    <w:rsid w:val="02063739"/>
    <w:rsid w:val="026D3223"/>
    <w:rsid w:val="028770D3"/>
    <w:rsid w:val="028B66D5"/>
    <w:rsid w:val="02AC173E"/>
    <w:rsid w:val="02BE582C"/>
    <w:rsid w:val="02CF3119"/>
    <w:rsid w:val="02D5471B"/>
    <w:rsid w:val="02E42C65"/>
    <w:rsid w:val="02EF2A0E"/>
    <w:rsid w:val="03360590"/>
    <w:rsid w:val="03535512"/>
    <w:rsid w:val="03551932"/>
    <w:rsid w:val="035B2B33"/>
    <w:rsid w:val="035D4211"/>
    <w:rsid w:val="03704674"/>
    <w:rsid w:val="03794AF3"/>
    <w:rsid w:val="037D5EE3"/>
    <w:rsid w:val="03870B58"/>
    <w:rsid w:val="03877B00"/>
    <w:rsid w:val="039745A7"/>
    <w:rsid w:val="03BD1B94"/>
    <w:rsid w:val="03D428EA"/>
    <w:rsid w:val="04310A20"/>
    <w:rsid w:val="04345014"/>
    <w:rsid w:val="0438726B"/>
    <w:rsid w:val="04480FC7"/>
    <w:rsid w:val="045022DD"/>
    <w:rsid w:val="045D36CC"/>
    <w:rsid w:val="04981731"/>
    <w:rsid w:val="049B023E"/>
    <w:rsid w:val="049F0C1B"/>
    <w:rsid w:val="04A5035F"/>
    <w:rsid w:val="04A649F6"/>
    <w:rsid w:val="04AC637A"/>
    <w:rsid w:val="04C85B77"/>
    <w:rsid w:val="04CF6E29"/>
    <w:rsid w:val="04E43B75"/>
    <w:rsid w:val="04EE6171"/>
    <w:rsid w:val="04F73278"/>
    <w:rsid w:val="05082192"/>
    <w:rsid w:val="050C59EA"/>
    <w:rsid w:val="050D2A9B"/>
    <w:rsid w:val="050E411D"/>
    <w:rsid w:val="052D580A"/>
    <w:rsid w:val="054C4B13"/>
    <w:rsid w:val="0566036B"/>
    <w:rsid w:val="05663D21"/>
    <w:rsid w:val="056A0D08"/>
    <w:rsid w:val="059366CF"/>
    <w:rsid w:val="05B005E5"/>
    <w:rsid w:val="05B87B12"/>
    <w:rsid w:val="05BB0E27"/>
    <w:rsid w:val="05D00163"/>
    <w:rsid w:val="05D70DB9"/>
    <w:rsid w:val="06091A7D"/>
    <w:rsid w:val="0641664A"/>
    <w:rsid w:val="06460246"/>
    <w:rsid w:val="065E42CE"/>
    <w:rsid w:val="06856661"/>
    <w:rsid w:val="068816E8"/>
    <w:rsid w:val="069C6DD5"/>
    <w:rsid w:val="06A236FF"/>
    <w:rsid w:val="06B7358F"/>
    <w:rsid w:val="06F21F49"/>
    <w:rsid w:val="06F539DE"/>
    <w:rsid w:val="070111DD"/>
    <w:rsid w:val="07347967"/>
    <w:rsid w:val="074320E7"/>
    <w:rsid w:val="074C7D90"/>
    <w:rsid w:val="0770520B"/>
    <w:rsid w:val="077C34B8"/>
    <w:rsid w:val="0790350F"/>
    <w:rsid w:val="07A209C4"/>
    <w:rsid w:val="07EA5E2D"/>
    <w:rsid w:val="07EC261C"/>
    <w:rsid w:val="07EF0711"/>
    <w:rsid w:val="080D26DA"/>
    <w:rsid w:val="080F6B2A"/>
    <w:rsid w:val="081C7E5D"/>
    <w:rsid w:val="08283642"/>
    <w:rsid w:val="08284245"/>
    <w:rsid w:val="08391181"/>
    <w:rsid w:val="086F1260"/>
    <w:rsid w:val="0876459B"/>
    <w:rsid w:val="0880226D"/>
    <w:rsid w:val="08895A36"/>
    <w:rsid w:val="088B4D97"/>
    <w:rsid w:val="089F2BDE"/>
    <w:rsid w:val="08A306EF"/>
    <w:rsid w:val="08A86F17"/>
    <w:rsid w:val="08B6611C"/>
    <w:rsid w:val="08BB2505"/>
    <w:rsid w:val="08D63611"/>
    <w:rsid w:val="08EC6994"/>
    <w:rsid w:val="090D6531"/>
    <w:rsid w:val="0963581B"/>
    <w:rsid w:val="099A07E1"/>
    <w:rsid w:val="09A0699C"/>
    <w:rsid w:val="09B83AB4"/>
    <w:rsid w:val="09C40CDA"/>
    <w:rsid w:val="09F61AD0"/>
    <w:rsid w:val="0A2D58D3"/>
    <w:rsid w:val="0A4E47C8"/>
    <w:rsid w:val="0A51342A"/>
    <w:rsid w:val="0A6F3D19"/>
    <w:rsid w:val="0A887FBA"/>
    <w:rsid w:val="0A9578EA"/>
    <w:rsid w:val="0A9855FA"/>
    <w:rsid w:val="0A9B4FED"/>
    <w:rsid w:val="0AB811A5"/>
    <w:rsid w:val="0AEC7127"/>
    <w:rsid w:val="0AF916E2"/>
    <w:rsid w:val="0B063FF5"/>
    <w:rsid w:val="0B0C0A79"/>
    <w:rsid w:val="0B343C32"/>
    <w:rsid w:val="0B451F6A"/>
    <w:rsid w:val="0B636CD4"/>
    <w:rsid w:val="0B705BE3"/>
    <w:rsid w:val="0B7E1688"/>
    <w:rsid w:val="0B93537C"/>
    <w:rsid w:val="0BC11154"/>
    <w:rsid w:val="0BF02B82"/>
    <w:rsid w:val="0BFD6020"/>
    <w:rsid w:val="0C020C38"/>
    <w:rsid w:val="0C227AFE"/>
    <w:rsid w:val="0C2F6EBE"/>
    <w:rsid w:val="0C6F3838"/>
    <w:rsid w:val="0C6F4C8D"/>
    <w:rsid w:val="0C737206"/>
    <w:rsid w:val="0C856E40"/>
    <w:rsid w:val="0C884C12"/>
    <w:rsid w:val="0CB85073"/>
    <w:rsid w:val="0CC96B4C"/>
    <w:rsid w:val="0CD76EBF"/>
    <w:rsid w:val="0CEB4A01"/>
    <w:rsid w:val="0D000E26"/>
    <w:rsid w:val="0D0B3DF2"/>
    <w:rsid w:val="0D0E0EB6"/>
    <w:rsid w:val="0D1314C2"/>
    <w:rsid w:val="0D29263B"/>
    <w:rsid w:val="0D3B1DFE"/>
    <w:rsid w:val="0D9B57CA"/>
    <w:rsid w:val="0DAB4BFF"/>
    <w:rsid w:val="0DDF33F8"/>
    <w:rsid w:val="0DE07B58"/>
    <w:rsid w:val="0DE142CB"/>
    <w:rsid w:val="0E115CD5"/>
    <w:rsid w:val="0E1B7D40"/>
    <w:rsid w:val="0E2750D5"/>
    <w:rsid w:val="0E456A4A"/>
    <w:rsid w:val="0E513654"/>
    <w:rsid w:val="0E6447C9"/>
    <w:rsid w:val="0E701143"/>
    <w:rsid w:val="0E820056"/>
    <w:rsid w:val="0E96765D"/>
    <w:rsid w:val="0EAD2BF9"/>
    <w:rsid w:val="0EC2618A"/>
    <w:rsid w:val="0EC42418"/>
    <w:rsid w:val="0ED341EB"/>
    <w:rsid w:val="0F136F00"/>
    <w:rsid w:val="0F1727CE"/>
    <w:rsid w:val="0F173921"/>
    <w:rsid w:val="0F2733BC"/>
    <w:rsid w:val="0F3235D9"/>
    <w:rsid w:val="0F543E57"/>
    <w:rsid w:val="0F5B223F"/>
    <w:rsid w:val="0F621F40"/>
    <w:rsid w:val="0F8C6CB2"/>
    <w:rsid w:val="0FDC1CDC"/>
    <w:rsid w:val="0FFA012C"/>
    <w:rsid w:val="0FFE25F6"/>
    <w:rsid w:val="10223C48"/>
    <w:rsid w:val="1030496E"/>
    <w:rsid w:val="104826E0"/>
    <w:rsid w:val="1058205D"/>
    <w:rsid w:val="1081066D"/>
    <w:rsid w:val="1094767D"/>
    <w:rsid w:val="109617B2"/>
    <w:rsid w:val="109A050C"/>
    <w:rsid w:val="109B4883"/>
    <w:rsid w:val="10B93D1B"/>
    <w:rsid w:val="10CA6A02"/>
    <w:rsid w:val="10DF7BBC"/>
    <w:rsid w:val="11117E67"/>
    <w:rsid w:val="11182730"/>
    <w:rsid w:val="11293521"/>
    <w:rsid w:val="112A50BA"/>
    <w:rsid w:val="11375345"/>
    <w:rsid w:val="114619CE"/>
    <w:rsid w:val="11465FF5"/>
    <w:rsid w:val="115654E3"/>
    <w:rsid w:val="11595062"/>
    <w:rsid w:val="11A42091"/>
    <w:rsid w:val="11BD75F7"/>
    <w:rsid w:val="11D21F02"/>
    <w:rsid w:val="120C5D21"/>
    <w:rsid w:val="123649A8"/>
    <w:rsid w:val="12385DAA"/>
    <w:rsid w:val="123B5AD1"/>
    <w:rsid w:val="12410B8B"/>
    <w:rsid w:val="12475EA9"/>
    <w:rsid w:val="12707190"/>
    <w:rsid w:val="1288550F"/>
    <w:rsid w:val="12BE53D5"/>
    <w:rsid w:val="133360BD"/>
    <w:rsid w:val="137A1844"/>
    <w:rsid w:val="13806B33"/>
    <w:rsid w:val="13C85D56"/>
    <w:rsid w:val="14040081"/>
    <w:rsid w:val="140B464A"/>
    <w:rsid w:val="142D218A"/>
    <w:rsid w:val="145C6FD0"/>
    <w:rsid w:val="146E4633"/>
    <w:rsid w:val="146E56C1"/>
    <w:rsid w:val="14A2580E"/>
    <w:rsid w:val="14AD2BFE"/>
    <w:rsid w:val="14B03C61"/>
    <w:rsid w:val="14D94F9A"/>
    <w:rsid w:val="14F40ECC"/>
    <w:rsid w:val="150412EA"/>
    <w:rsid w:val="150A451A"/>
    <w:rsid w:val="15127131"/>
    <w:rsid w:val="15315FCD"/>
    <w:rsid w:val="154C31C1"/>
    <w:rsid w:val="15632594"/>
    <w:rsid w:val="15916BDE"/>
    <w:rsid w:val="15C2719D"/>
    <w:rsid w:val="15F70FAA"/>
    <w:rsid w:val="160E4D4D"/>
    <w:rsid w:val="16207996"/>
    <w:rsid w:val="16260FD9"/>
    <w:rsid w:val="16355694"/>
    <w:rsid w:val="16432BC3"/>
    <w:rsid w:val="164475C7"/>
    <w:rsid w:val="1650078C"/>
    <w:rsid w:val="16626A27"/>
    <w:rsid w:val="16684ADD"/>
    <w:rsid w:val="167A2455"/>
    <w:rsid w:val="169F48DF"/>
    <w:rsid w:val="16A9014A"/>
    <w:rsid w:val="16C2206D"/>
    <w:rsid w:val="16E07F9A"/>
    <w:rsid w:val="16F32AE0"/>
    <w:rsid w:val="17003878"/>
    <w:rsid w:val="17005E9B"/>
    <w:rsid w:val="171438BA"/>
    <w:rsid w:val="17230955"/>
    <w:rsid w:val="175076BE"/>
    <w:rsid w:val="175E7186"/>
    <w:rsid w:val="17AA0F9F"/>
    <w:rsid w:val="17B714AB"/>
    <w:rsid w:val="1804388A"/>
    <w:rsid w:val="182770BA"/>
    <w:rsid w:val="18307103"/>
    <w:rsid w:val="1831075C"/>
    <w:rsid w:val="18331625"/>
    <w:rsid w:val="183445FE"/>
    <w:rsid w:val="183F42E8"/>
    <w:rsid w:val="186E6A90"/>
    <w:rsid w:val="18740DE7"/>
    <w:rsid w:val="18863017"/>
    <w:rsid w:val="18932829"/>
    <w:rsid w:val="189A0DA0"/>
    <w:rsid w:val="18AA6B85"/>
    <w:rsid w:val="18AC6D73"/>
    <w:rsid w:val="18B350A3"/>
    <w:rsid w:val="18C36A99"/>
    <w:rsid w:val="18F605BB"/>
    <w:rsid w:val="19211ADE"/>
    <w:rsid w:val="19267D5B"/>
    <w:rsid w:val="19431DA3"/>
    <w:rsid w:val="19C162BB"/>
    <w:rsid w:val="19C8432D"/>
    <w:rsid w:val="19D03415"/>
    <w:rsid w:val="1A114A2E"/>
    <w:rsid w:val="1A31175B"/>
    <w:rsid w:val="1A40729A"/>
    <w:rsid w:val="1A462F08"/>
    <w:rsid w:val="1A740AEE"/>
    <w:rsid w:val="1A8C15A3"/>
    <w:rsid w:val="1A9B5FFB"/>
    <w:rsid w:val="1AC029B2"/>
    <w:rsid w:val="1AD2126E"/>
    <w:rsid w:val="1AD749B1"/>
    <w:rsid w:val="1B4716B4"/>
    <w:rsid w:val="1B7815CA"/>
    <w:rsid w:val="1B9F64DE"/>
    <w:rsid w:val="1BB400F5"/>
    <w:rsid w:val="1BB56A48"/>
    <w:rsid w:val="1BC0349E"/>
    <w:rsid w:val="1C08419D"/>
    <w:rsid w:val="1C7137C5"/>
    <w:rsid w:val="1C743EC6"/>
    <w:rsid w:val="1CA00BF7"/>
    <w:rsid w:val="1CFD70E6"/>
    <w:rsid w:val="1D102DA4"/>
    <w:rsid w:val="1D13631D"/>
    <w:rsid w:val="1D4D5FFD"/>
    <w:rsid w:val="1D60322D"/>
    <w:rsid w:val="1D675885"/>
    <w:rsid w:val="1D7B5E2C"/>
    <w:rsid w:val="1D9531D6"/>
    <w:rsid w:val="1D983953"/>
    <w:rsid w:val="1D9D6494"/>
    <w:rsid w:val="1DC6338F"/>
    <w:rsid w:val="1DD31D21"/>
    <w:rsid w:val="1DD9387C"/>
    <w:rsid w:val="1DDD4935"/>
    <w:rsid w:val="1DE05978"/>
    <w:rsid w:val="1DFA142B"/>
    <w:rsid w:val="1E130059"/>
    <w:rsid w:val="1E1C4541"/>
    <w:rsid w:val="1E1D08F9"/>
    <w:rsid w:val="1E2D7E56"/>
    <w:rsid w:val="1E530F7B"/>
    <w:rsid w:val="1E895861"/>
    <w:rsid w:val="1E8C4DDA"/>
    <w:rsid w:val="1EB558D4"/>
    <w:rsid w:val="1EC10142"/>
    <w:rsid w:val="1ECA1C9D"/>
    <w:rsid w:val="1EDF3E9F"/>
    <w:rsid w:val="1F003FF4"/>
    <w:rsid w:val="1F0A75FE"/>
    <w:rsid w:val="1F0E097D"/>
    <w:rsid w:val="1F243709"/>
    <w:rsid w:val="1F3406BD"/>
    <w:rsid w:val="1F7A0970"/>
    <w:rsid w:val="1F7C0C0C"/>
    <w:rsid w:val="1F896D7E"/>
    <w:rsid w:val="1F991A14"/>
    <w:rsid w:val="20263DCB"/>
    <w:rsid w:val="202975DD"/>
    <w:rsid w:val="203D3B8E"/>
    <w:rsid w:val="207761C8"/>
    <w:rsid w:val="209E2C67"/>
    <w:rsid w:val="20EA5EBD"/>
    <w:rsid w:val="20FF23A0"/>
    <w:rsid w:val="21110DC5"/>
    <w:rsid w:val="215D3AC5"/>
    <w:rsid w:val="216F32CA"/>
    <w:rsid w:val="217B20CF"/>
    <w:rsid w:val="21CB6FBF"/>
    <w:rsid w:val="21DE7908"/>
    <w:rsid w:val="21E76179"/>
    <w:rsid w:val="220845A6"/>
    <w:rsid w:val="220F0311"/>
    <w:rsid w:val="22124112"/>
    <w:rsid w:val="221638BC"/>
    <w:rsid w:val="221D4E54"/>
    <w:rsid w:val="223E2C19"/>
    <w:rsid w:val="223F43C3"/>
    <w:rsid w:val="22461C32"/>
    <w:rsid w:val="225766ED"/>
    <w:rsid w:val="227109EA"/>
    <w:rsid w:val="227B3018"/>
    <w:rsid w:val="228A22DE"/>
    <w:rsid w:val="228A350B"/>
    <w:rsid w:val="228C637A"/>
    <w:rsid w:val="22B07711"/>
    <w:rsid w:val="22E36792"/>
    <w:rsid w:val="22F00621"/>
    <w:rsid w:val="23015C64"/>
    <w:rsid w:val="231B24EA"/>
    <w:rsid w:val="232A799A"/>
    <w:rsid w:val="2343545E"/>
    <w:rsid w:val="236B3E30"/>
    <w:rsid w:val="23764E6B"/>
    <w:rsid w:val="23767719"/>
    <w:rsid w:val="23AA3691"/>
    <w:rsid w:val="23BD2D57"/>
    <w:rsid w:val="23E24BBF"/>
    <w:rsid w:val="23E90D30"/>
    <w:rsid w:val="23F57352"/>
    <w:rsid w:val="23FA2EC0"/>
    <w:rsid w:val="24077D10"/>
    <w:rsid w:val="241308D1"/>
    <w:rsid w:val="242D5F16"/>
    <w:rsid w:val="242F3D6C"/>
    <w:rsid w:val="24373239"/>
    <w:rsid w:val="24461C6B"/>
    <w:rsid w:val="24531CE3"/>
    <w:rsid w:val="245A3D5B"/>
    <w:rsid w:val="245E0A8A"/>
    <w:rsid w:val="249454A5"/>
    <w:rsid w:val="24964EF8"/>
    <w:rsid w:val="249A7996"/>
    <w:rsid w:val="24A10DD2"/>
    <w:rsid w:val="24B57D8C"/>
    <w:rsid w:val="24BE28A6"/>
    <w:rsid w:val="24D057D9"/>
    <w:rsid w:val="24E22663"/>
    <w:rsid w:val="24E23C99"/>
    <w:rsid w:val="24F062D2"/>
    <w:rsid w:val="2529444A"/>
    <w:rsid w:val="253B3777"/>
    <w:rsid w:val="253E3770"/>
    <w:rsid w:val="256A6608"/>
    <w:rsid w:val="256C3FE9"/>
    <w:rsid w:val="256F4081"/>
    <w:rsid w:val="259174A4"/>
    <w:rsid w:val="25A17AC4"/>
    <w:rsid w:val="25A71EE0"/>
    <w:rsid w:val="25C32FD6"/>
    <w:rsid w:val="25D60E9E"/>
    <w:rsid w:val="260343EC"/>
    <w:rsid w:val="26160809"/>
    <w:rsid w:val="261A371B"/>
    <w:rsid w:val="26482E8A"/>
    <w:rsid w:val="265005E2"/>
    <w:rsid w:val="267E2359"/>
    <w:rsid w:val="269F64C8"/>
    <w:rsid w:val="26BC7CBC"/>
    <w:rsid w:val="26CA55C3"/>
    <w:rsid w:val="26F64CE5"/>
    <w:rsid w:val="271327C9"/>
    <w:rsid w:val="27242F2D"/>
    <w:rsid w:val="27447ED5"/>
    <w:rsid w:val="275F3A77"/>
    <w:rsid w:val="27744012"/>
    <w:rsid w:val="2777004F"/>
    <w:rsid w:val="27A07F33"/>
    <w:rsid w:val="27BB0A82"/>
    <w:rsid w:val="27BB666A"/>
    <w:rsid w:val="27C86687"/>
    <w:rsid w:val="27D2107F"/>
    <w:rsid w:val="27D67007"/>
    <w:rsid w:val="27FE6849"/>
    <w:rsid w:val="284F0253"/>
    <w:rsid w:val="28644870"/>
    <w:rsid w:val="288A4353"/>
    <w:rsid w:val="28A53BF2"/>
    <w:rsid w:val="28AC7791"/>
    <w:rsid w:val="28F6607A"/>
    <w:rsid w:val="290676DC"/>
    <w:rsid w:val="290D27BA"/>
    <w:rsid w:val="293E1F8D"/>
    <w:rsid w:val="29442E9B"/>
    <w:rsid w:val="29674CC8"/>
    <w:rsid w:val="297A6E50"/>
    <w:rsid w:val="297F2E73"/>
    <w:rsid w:val="29F23E8A"/>
    <w:rsid w:val="2A012DF7"/>
    <w:rsid w:val="2A113167"/>
    <w:rsid w:val="2A1F6016"/>
    <w:rsid w:val="2A2B6113"/>
    <w:rsid w:val="2A4B5348"/>
    <w:rsid w:val="2A4F1B3F"/>
    <w:rsid w:val="2A555ED0"/>
    <w:rsid w:val="2A5D2CA5"/>
    <w:rsid w:val="2A75051E"/>
    <w:rsid w:val="2AAB33FF"/>
    <w:rsid w:val="2AB8143E"/>
    <w:rsid w:val="2AE949DF"/>
    <w:rsid w:val="2AF12441"/>
    <w:rsid w:val="2AF764E5"/>
    <w:rsid w:val="2B1C1A3A"/>
    <w:rsid w:val="2B250539"/>
    <w:rsid w:val="2B3B474B"/>
    <w:rsid w:val="2B3E72B6"/>
    <w:rsid w:val="2B4E27CA"/>
    <w:rsid w:val="2B5D17D7"/>
    <w:rsid w:val="2B7B6818"/>
    <w:rsid w:val="2B8D044E"/>
    <w:rsid w:val="2BC27B4B"/>
    <w:rsid w:val="2BFD6B16"/>
    <w:rsid w:val="2C016BB8"/>
    <w:rsid w:val="2C2F27D7"/>
    <w:rsid w:val="2C345B15"/>
    <w:rsid w:val="2C79418D"/>
    <w:rsid w:val="2C8B5ED0"/>
    <w:rsid w:val="2C9B70E1"/>
    <w:rsid w:val="2CAA5825"/>
    <w:rsid w:val="2CE4166F"/>
    <w:rsid w:val="2D0E6CE1"/>
    <w:rsid w:val="2D26240A"/>
    <w:rsid w:val="2D2F2667"/>
    <w:rsid w:val="2D307F4F"/>
    <w:rsid w:val="2D407E72"/>
    <w:rsid w:val="2D591F74"/>
    <w:rsid w:val="2D625044"/>
    <w:rsid w:val="2D77461B"/>
    <w:rsid w:val="2D9F7BBA"/>
    <w:rsid w:val="2DD625D6"/>
    <w:rsid w:val="2DDD6BFF"/>
    <w:rsid w:val="2E053518"/>
    <w:rsid w:val="2E227E46"/>
    <w:rsid w:val="2E3B6CE8"/>
    <w:rsid w:val="2E400C5F"/>
    <w:rsid w:val="2E440F97"/>
    <w:rsid w:val="2E4F03AE"/>
    <w:rsid w:val="2E5209E3"/>
    <w:rsid w:val="2E5A17DE"/>
    <w:rsid w:val="2E7D5169"/>
    <w:rsid w:val="2E8564A5"/>
    <w:rsid w:val="2E8A4911"/>
    <w:rsid w:val="2E9670C4"/>
    <w:rsid w:val="2EB01AFE"/>
    <w:rsid w:val="2EC71DCC"/>
    <w:rsid w:val="2ED31DB0"/>
    <w:rsid w:val="2EEC53F3"/>
    <w:rsid w:val="2F107418"/>
    <w:rsid w:val="2F1B391D"/>
    <w:rsid w:val="2F2E0A77"/>
    <w:rsid w:val="2F65569B"/>
    <w:rsid w:val="2FAC51A7"/>
    <w:rsid w:val="2FD041F4"/>
    <w:rsid w:val="2FDA24A9"/>
    <w:rsid w:val="2FE62A3B"/>
    <w:rsid w:val="2FF244FE"/>
    <w:rsid w:val="300B79E1"/>
    <w:rsid w:val="303B1590"/>
    <w:rsid w:val="30592C7B"/>
    <w:rsid w:val="30862974"/>
    <w:rsid w:val="30864252"/>
    <w:rsid w:val="30AF1BFB"/>
    <w:rsid w:val="30D1119A"/>
    <w:rsid w:val="30D31826"/>
    <w:rsid w:val="30D43148"/>
    <w:rsid w:val="30F12F4C"/>
    <w:rsid w:val="31024B58"/>
    <w:rsid w:val="3106646D"/>
    <w:rsid w:val="3112402E"/>
    <w:rsid w:val="313D3E38"/>
    <w:rsid w:val="31760F72"/>
    <w:rsid w:val="31A041CB"/>
    <w:rsid w:val="31A535A1"/>
    <w:rsid w:val="31F92C45"/>
    <w:rsid w:val="321F4FEF"/>
    <w:rsid w:val="322634C5"/>
    <w:rsid w:val="32384358"/>
    <w:rsid w:val="32611BF0"/>
    <w:rsid w:val="3268420D"/>
    <w:rsid w:val="32706B60"/>
    <w:rsid w:val="32791431"/>
    <w:rsid w:val="327C6E3D"/>
    <w:rsid w:val="329C5193"/>
    <w:rsid w:val="32DA195F"/>
    <w:rsid w:val="32ED5524"/>
    <w:rsid w:val="33170AEB"/>
    <w:rsid w:val="333F39DC"/>
    <w:rsid w:val="33450D24"/>
    <w:rsid w:val="33565979"/>
    <w:rsid w:val="33945FB2"/>
    <w:rsid w:val="339733AC"/>
    <w:rsid w:val="33A83294"/>
    <w:rsid w:val="33B02C55"/>
    <w:rsid w:val="33B77DB8"/>
    <w:rsid w:val="33FD6174"/>
    <w:rsid w:val="34011E26"/>
    <w:rsid w:val="340439CF"/>
    <w:rsid w:val="341B4D23"/>
    <w:rsid w:val="345C3B03"/>
    <w:rsid w:val="349870EC"/>
    <w:rsid w:val="34A34D3C"/>
    <w:rsid w:val="34AE6BFF"/>
    <w:rsid w:val="34B61F58"/>
    <w:rsid w:val="34BF4271"/>
    <w:rsid w:val="34D545BA"/>
    <w:rsid w:val="351153E0"/>
    <w:rsid w:val="35351763"/>
    <w:rsid w:val="3537507A"/>
    <w:rsid w:val="356938C2"/>
    <w:rsid w:val="35700359"/>
    <w:rsid w:val="35750B6C"/>
    <w:rsid w:val="358C742B"/>
    <w:rsid w:val="3594691D"/>
    <w:rsid w:val="359C5EEF"/>
    <w:rsid w:val="35B50693"/>
    <w:rsid w:val="35E30B2B"/>
    <w:rsid w:val="3640241B"/>
    <w:rsid w:val="364E252C"/>
    <w:rsid w:val="3663111C"/>
    <w:rsid w:val="36634890"/>
    <w:rsid w:val="36650D67"/>
    <w:rsid w:val="3676725F"/>
    <w:rsid w:val="36835891"/>
    <w:rsid w:val="369F5FC3"/>
    <w:rsid w:val="36A81FB2"/>
    <w:rsid w:val="36B1372E"/>
    <w:rsid w:val="36B164AC"/>
    <w:rsid w:val="36B7581C"/>
    <w:rsid w:val="37160ED8"/>
    <w:rsid w:val="3722158D"/>
    <w:rsid w:val="373519C5"/>
    <w:rsid w:val="3747333B"/>
    <w:rsid w:val="375E09FC"/>
    <w:rsid w:val="376A21C2"/>
    <w:rsid w:val="377A0F99"/>
    <w:rsid w:val="37800B40"/>
    <w:rsid w:val="37A133A3"/>
    <w:rsid w:val="37CF580A"/>
    <w:rsid w:val="37F16D40"/>
    <w:rsid w:val="37FD6FF9"/>
    <w:rsid w:val="38034F46"/>
    <w:rsid w:val="3805002B"/>
    <w:rsid w:val="381C5B9B"/>
    <w:rsid w:val="38361BA4"/>
    <w:rsid w:val="383D6325"/>
    <w:rsid w:val="38471845"/>
    <w:rsid w:val="38525FA9"/>
    <w:rsid w:val="38526E75"/>
    <w:rsid w:val="386B258D"/>
    <w:rsid w:val="38752AF3"/>
    <w:rsid w:val="388A293F"/>
    <w:rsid w:val="388C7258"/>
    <w:rsid w:val="38A56B01"/>
    <w:rsid w:val="38AA5685"/>
    <w:rsid w:val="38B47FF9"/>
    <w:rsid w:val="38CA1DB0"/>
    <w:rsid w:val="38F2664F"/>
    <w:rsid w:val="38FA64C1"/>
    <w:rsid w:val="39003F1D"/>
    <w:rsid w:val="39094EB1"/>
    <w:rsid w:val="390C65EA"/>
    <w:rsid w:val="391D4DEF"/>
    <w:rsid w:val="39276876"/>
    <w:rsid w:val="392B2930"/>
    <w:rsid w:val="39553FED"/>
    <w:rsid w:val="39A6320B"/>
    <w:rsid w:val="39D50319"/>
    <w:rsid w:val="39E14E84"/>
    <w:rsid w:val="3A266A6B"/>
    <w:rsid w:val="3A362ECC"/>
    <w:rsid w:val="3A451DB4"/>
    <w:rsid w:val="3AA26281"/>
    <w:rsid w:val="3AA92EDF"/>
    <w:rsid w:val="3AC853CC"/>
    <w:rsid w:val="3ADB0496"/>
    <w:rsid w:val="3AEE50E4"/>
    <w:rsid w:val="3B010F46"/>
    <w:rsid w:val="3B0517D8"/>
    <w:rsid w:val="3B0B040C"/>
    <w:rsid w:val="3B3609B1"/>
    <w:rsid w:val="3B3E055C"/>
    <w:rsid w:val="3B4804F7"/>
    <w:rsid w:val="3B765960"/>
    <w:rsid w:val="3B9B6524"/>
    <w:rsid w:val="3B9D6782"/>
    <w:rsid w:val="3BA0033D"/>
    <w:rsid w:val="3BA528F6"/>
    <w:rsid w:val="3BD13323"/>
    <w:rsid w:val="3BE706E7"/>
    <w:rsid w:val="3BED1DD7"/>
    <w:rsid w:val="3C0D3146"/>
    <w:rsid w:val="3C3F2D65"/>
    <w:rsid w:val="3C582CD8"/>
    <w:rsid w:val="3C5F4C5A"/>
    <w:rsid w:val="3C650EFE"/>
    <w:rsid w:val="3C755A40"/>
    <w:rsid w:val="3C780259"/>
    <w:rsid w:val="3C7C43FF"/>
    <w:rsid w:val="3CC405B3"/>
    <w:rsid w:val="3D3B4812"/>
    <w:rsid w:val="3D85696B"/>
    <w:rsid w:val="3D8A537D"/>
    <w:rsid w:val="3D8F5840"/>
    <w:rsid w:val="3DA70A4C"/>
    <w:rsid w:val="3DA82B7F"/>
    <w:rsid w:val="3DAF1BD5"/>
    <w:rsid w:val="3DB24665"/>
    <w:rsid w:val="3DB40069"/>
    <w:rsid w:val="3DE17846"/>
    <w:rsid w:val="3DF862C0"/>
    <w:rsid w:val="3E081F73"/>
    <w:rsid w:val="3E094E14"/>
    <w:rsid w:val="3E2546CD"/>
    <w:rsid w:val="3E4D5759"/>
    <w:rsid w:val="3E661272"/>
    <w:rsid w:val="3E691DE9"/>
    <w:rsid w:val="3E8A049E"/>
    <w:rsid w:val="3E8A5F09"/>
    <w:rsid w:val="3EA07079"/>
    <w:rsid w:val="3EAB0654"/>
    <w:rsid w:val="3EBC660E"/>
    <w:rsid w:val="3EC96912"/>
    <w:rsid w:val="3ECF2534"/>
    <w:rsid w:val="3ED9416D"/>
    <w:rsid w:val="3F577100"/>
    <w:rsid w:val="3F6941E1"/>
    <w:rsid w:val="3F7A6A72"/>
    <w:rsid w:val="3F954FA0"/>
    <w:rsid w:val="3F9B1F35"/>
    <w:rsid w:val="3FA85836"/>
    <w:rsid w:val="3FC610B5"/>
    <w:rsid w:val="400374F9"/>
    <w:rsid w:val="400E7192"/>
    <w:rsid w:val="4019244E"/>
    <w:rsid w:val="40511376"/>
    <w:rsid w:val="40531C58"/>
    <w:rsid w:val="40BF7C1A"/>
    <w:rsid w:val="40C12F37"/>
    <w:rsid w:val="40C724E3"/>
    <w:rsid w:val="40C91A64"/>
    <w:rsid w:val="40CD0D6A"/>
    <w:rsid w:val="40CD7210"/>
    <w:rsid w:val="40DE2987"/>
    <w:rsid w:val="40E21F81"/>
    <w:rsid w:val="40FF0F16"/>
    <w:rsid w:val="410D47C6"/>
    <w:rsid w:val="41192D98"/>
    <w:rsid w:val="413A6614"/>
    <w:rsid w:val="413E5CD9"/>
    <w:rsid w:val="414337A7"/>
    <w:rsid w:val="415E5E0D"/>
    <w:rsid w:val="41955C5F"/>
    <w:rsid w:val="41B46655"/>
    <w:rsid w:val="41BB6EC9"/>
    <w:rsid w:val="41BD0482"/>
    <w:rsid w:val="41C23CEA"/>
    <w:rsid w:val="41EE64C3"/>
    <w:rsid w:val="4238196C"/>
    <w:rsid w:val="424B591E"/>
    <w:rsid w:val="4271634D"/>
    <w:rsid w:val="429E0DD2"/>
    <w:rsid w:val="42B0288A"/>
    <w:rsid w:val="42D26CDA"/>
    <w:rsid w:val="42F66920"/>
    <w:rsid w:val="42F81805"/>
    <w:rsid w:val="431000EB"/>
    <w:rsid w:val="4316518F"/>
    <w:rsid w:val="43356B16"/>
    <w:rsid w:val="43425F9D"/>
    <w:rsid w:val="434F0CBC"/>
    <w:rsid w:val="434F6023"/>
    <w:rsid w:val="4361581D"/>
    <w:rsid w:val="4388426B"/>
    <w:rsid w:val="43975E80"/>
    <w:rsid w:val="439E35B1"/>
    <w:rsid w:val="43A7571F"/>
    <w:rsid w:val="43D2323C"/>
    <w:rsid w:val="43DD4E0A"/>
    <w:rsid w:val="43F465D0"/>
    <w:rsid w:val="44090204"/>
    <w:rsid w:val="44195327"/>
    <w:rsid w:val="442807B3"/>
    <w:rsid w:val="442A053D"/>
    <w:rsid w:val="44424A4D"/>
    <w:rsid w:val="44440739"/>
    <w:rsid w:val="44561586"/>
    <w:rsid w:val="445F2AE3"/>
    <w:rsid w:val="446154EB"/>
    <w:rsid w:val="44697364"/>
    <w:rsid w:val="446F65B8"/>
    <w:rsid w:val="44795B35"/>
    <w:rsid w:val="44974478"/>
    <w:rsid w:val="449D65AB"/>
    <w:rsid w:val="44D020CE"/>
    <w:rsid w:val="44DC0267"/>
    <w:rsid w:val="44F057A6"/>
    <w:rsid w:val="44F56185"/>
    <w:rsid w:val="4521617F"/>
    <w:rsid w:val="4547596A"/>
    <w:rsid w:val="455C7DF1"/>
    <w:rsid w:val="457E4F5C"/>
    <w:rsid w:val="45865A79"/>
    <w:rsid w:val="458F395F"/>
    <w:rsid w:val="459E32E0"/>
    <w:rsid w:val="45A95346"/>
    <w:rsid w:val="45EE06D5"/>
    <w:rsid w:val="46203128"/>
    <w:rsid w:val="462C60A0"/>
    <w:rsid w:val="46333408"/>
    <w:rsid w:val="46416F41"/>
    <w:rsid w:val="46487A7F"/>
    <w:rsid w:val="465E0432"/>
    <w:rsid w:val="466A6433"/>
    <w:rsid w:val="469A5597"/>
    <w:rsid w:val="46A10793"/>
    <w:rsid w:val="46A316B8"/>
    <w:rsid w:val="46A41952"/>
    <w:rsid w:val="46C4203A"/>
    <w:rsid w:val="46D17DBE"/>
    <w:rsid w:val="46DA18B7"/>
    <w:rsid w:val="470E29AE"/>
    <w:rsid w:val="474249F4"/>
    <w:rsid w:val="474B43A7"/>
    <w:rsid w:val="474F5F65"/>
    <w:rsid w:val="4755115C"/>
    <w:rsid w:val="47765844"/>
    <w:rsid w:val="47985035"/>
    <w:rsid w:val="47CD163B"/>
    <w:rsid w:val="47DC5E24"/>
    <w:rsid w:val="482E365F"/>
    <w:rsid w:val="484B0A4B"/>
    <w:rsid w:val="485729EF"/>
    <w:rsid w:val="48577262"/>
    <w:rsid w:val="48580B27"/>
    <w:rsid w:val="48A85B47"/>
    <w:rsid w:val="48BF4F17"/>
    <w:rsid w:val="48C126D6"/>
    <w:rsid w:val="48EF6959"/>
    <w:rsid w:val="48F54240"/>
    <w:rsid w:val="49121D70"/>
    <w:rsid w:val="49290AF3"/>
    <w:rsid w:val="493F4EEB"/>
    <w:rsid w:val="497D7A76"/>
    <w:rsid w:val="49B063EE"/>
    <w:rsid w:val="49C75DBC"/>
    <w:rsid w:val="49CB0CCD"/>
    <w:rsid w:val="4A007AA5"/>
    <w:rsid w:val="4A323DB6"/>
    <w:rsid w:val="4A473AAB"/>
    <w:rsid w:val="4A803A90"/>
    <w:rsid w:val="4A871EAF"/>
    <w:rsid w:val="4AA610D6"/>
    <w:rsid w:val="4AE939A1"/>
    <w:rsid w:val="4B0C055A"/>
    <w:rsid w:val="4B186EA3"/>
    <w:rsid w:val="4B285784"/>
    <w:rsid w:val="4B2D5C22"/>
    <w:rsid w:val="4B696347"/>
    <w:rsid w:val="4BCC712C"/>
    <w:rsid w:val="4BE04095"/>
    <w:rsid w:val="4C07468A"/>
    <w:rsid w:val="4C175F49"/>
    <w:rsid w:val="4C1939EB"/>
    <w:rsid w:val="4C39729F"/>
    <w:rsid w:val="4C3E35AF"/>
    <w:rsid w:val="4C7A17D9"/>
    <w:rsid w:val="4C7B65D0"/>
    <w:rsid w:val="4C8B4A7C"/>
    <w:rsid w:val="4C9A568F"/>
    <w:rsid w:val="4CC753A6"/>
    <w:rsid w:val="4CCD1B48"/>
    <w:rsid w:val="4CD2174C"/>
    <w:rsid w:val="4CF25610"/>
    <w:rsid w:val="4CFC368B"/>
    <w:rsid w:val="4D1F0B6E"/>
    <w:rsid w:val="4D431806"/>
    <w:rsid w:val="4D697758"/>
    <w:rsid w:val="4D742CA5"/>
    <w:rsid w:val="4D822DD2"/>
    <w:rsid w:val="4DB44D2F"/>
    <w:rsid w:val="4DD741C8"/>
    <w:rsid w:val="4DF079FB"/>
    <w:rsid w:val="4E0A76AA"/>
    <w:rsid w:val="4E10100E"/>
    <w:rsid w:val="4E663032"/>
    <w:rsid w:val="4E754922"/>
    <w:rsid w:val="4E7937FC"/>
    <w:rsid w:val="4E7D412D"/>
    <w:rsid w:val="4E8833F7"/>
    <w:rsid w:val="4E9F43CC"/>
    <w:rsid w:val="4EAC25AD"/>
    <w:rsid w:val="4ECC1B7A"/>
    <w:rsid w:val="4ECC39D4"/>
    <w:rsid w:val="4EDE3F7B"/>
    <w:rsid w:val="4EE95EB3"/>
    <w:rsid w:val="4EEB2FB4"/>
    <w:rsid w:val="4EEF3BBD"/>
    <w:rsid w:val="4EF31987"/>
    <w:rsid w:val="4F01535F"/>
    <w:rsid w:val="4F086AAF"/>
    <w:rsid w:val="4F3F6266"/>
    <w:rsid w:val="4F441003"/>
    <w:rsid w:val="4F712179"/>
    <w:rsid w:val="4F8B1E5E"/>
    <w:rsid w:val="4FAE0E1F"/>
    <w:rsid w:val="4FF029D9"/>
    <w:rsid w:val="50266D9D"/>
    <w:rsid w:val="5057079F"/>
    <w:rsid w:val="5069668A"/>
    <w:rsid w:val="50740D82"/>
    <w:rsid w:val="50A83CB2"/>
    <w:rsid w:val="50AF5D81"/>
    <w:rsid w:val="50B138A7"/>
    <w:rsid w:val="50FB34D4"/>
    <w:rsid w:val="510214C9"/>
    <w:rsid w:val="510F1F50"/>
    <w:rsid w:val="511E2E4C"/>
    <w:rsid w:val="512B42F2"/>
    <w:rsid w:val="51472A97"/>
    <w:rsid w:val="516F441B"/>
    <w:rsid w:val="516F49FF"/>
    <w:rsid w:val="51792A48"/>
    <w:rsid w:val="517A638F"/>
    <w:rsid w:val="51A70ECF"/>
    <w:rsid w:val="51B45F41"/>
    <w:rsid w:val="51F3006B"/>
    <w:rsid w:val="521A0E83"/>
    <w:rsid w:val="525B595C"/>
    <w:rsid w:val="527F1783"/>
    <w:rsid w:val="5294110C"/>
    <w:rsid w:val="529751F1"/>
    <w:rsid w:val="52B8375C"/>
    <w:rsid w:val="52C8015A"/>
    <w:rsid w:val="52D55496"/>
    <w:rsid w:val="53036181"/>
    <w:rsid w:val="532823C8"/>
    <w:rsid w:val="53383CDD"/>
    <w:rsid w:val="535933A0"/>
    <w:rsid w:val="5366514C"/>
    <w:rsid w:val="5384550C"/>
    <w:rsid w:val="538762B6"/>
    <w:rsid w:val="538E5DEC"/>
    <w:rsid w:val="53B8303B"/>
    <w:rsid w:val="53BD2563"/>
    <w:rsid w:val="53CA4C80"/>
    <w:rsid w:val="53D45D64"/>
    <w:rsid w:val="53E5392D"/>
    <w:rsid w:val="5438579A"/>
    <w:rsid w:val="54491649"/>
    <w:rsid w:val="54554E92"/>
    <w:rsid w:val="54782FBD"/>
    <w:rsid w:val="547A556A"/>
    <w:rsid w:val="54AB227B"/>
    <w:rsid w:val="54B93049"/>
    <w:rsid w:val="54CE0F0D"/>
    <w:rsid w:val="551526ED"/>
    <w:rsid w:val="55225A47"/>
    <w:rsid w:val="552F56E3"/>
    <w:rsid w:val="554875B0"/>
    <w:rsid w:val="55720BED"/>
    <w:rsid w:val="557C50B8"/>
    <w:rsid w:val="55997A6E"/>
    <w:rsid w:val="55AE2147"/>
    <w:rsid w:val="55AE2352"/>
    <w:rsid w:val="55D04519"/>
    <w:rsid w:val="56171A01"/>
    <w:rsid w:val="56C32BFF"/>
    <w:rsid w:val="56CC66EB"/>
    <w:rsid w:val="56D076DF"/>
    <w:rsid w:val="56D8772E"/>
    <w:rsid w:val="56E34736"/>
    <w:rsid w:val="56E65FE2"/>
    <w:rsid w:val="56F72035"/>
    <w:rsid w:val="56F723C9"/>
    <w:rsid w:val="56FB15A3"/>
    <w:rsid w:val="570F0F88"/>
    <w:rsid w:val="572C3C94"/>
    <w:rsid w:val="57435834"/>
    <w:rsid w:val="574B4415"/>
    <w:rsid w:val="576C4C4E"/>
    <w:rsid w:val="57806BBC"/>
    <w:rsid w:val="57884230"/>
    <w:rsid w:val="578F6B08"/>
    <w:rsid w:val="57CD7E64"/>
    <w:rsid w:val="57D25B71"/>
    <w:rsid w:val="57DF3A61"/>
    <w:rsid w:val="58317605"/>
    <w:rsid w:val="583C397F"/>
    <w:rsid w:val="586B07E0"/>
    <w:rsid w:val="587D5F2C"/>
    <w:rsid w:val="587F450B"/>
    <w:rsid w:val="58963DA7"/>
    <w:rsid w:val="58A560FE"/>
    <w:rsid w:val="58A626A8"/>
    <w:rsid w:val="58CA181F"/>
    <w:rsid w:val="58DB5CD6"/>
    <w:rsid w:val="58EA5720"/>
    <w:rsid w:val="590C2C90"/>
    <w:rsid w:val="59150148"/>
    <w:rsid w:val="592C3305"/>
    <w:rsid w:val="593E4120"/>
    <w:rsid w:val="59483FC9"/>
    <w:rsid w:val="5965039F"/>
    <w:rsid w:val="597247E0"/>
    <w:rsid w:val="597B2D6E"/>
    <w:rsid w:val="59952B83"/>
    <w:rsid w:val="59A53FC9"/>
    <w:rsid w:val="59B3789C"/>
    <w:rsid w:val="5A2C7551"/>
    <w:rsid w:val="5A2F159C"/>
    <w:rsid w:val="5A400720"/>
    <w:rsid w:val="5A403EEE"/>
    <w:rsid w:val="5A447434"/>
    <w:rsid w:val="5A780F5E"/>
    <w:rsid w:val="5A8E4C59"/>
    <w:rsid w:val="5A9D12B3"/>
    <w:rsid w:val="5AB9364D"/>
    <w:rsid w:val="5B0303FE"/>
    <w:rsid w:val="5B505934"/>
    <w:rsid w:val="5B5366CB"/>
    <w:rsid w:val="5B5752E1"/>
    <w:rsid w:val="5BB02387"/>
    <w:rsid w:val="5BB52F7D"/>
    <w:rsid w:val="5BBE79C0"/>
    <w:rsid w:val="5BE0261C"/>
    <w:rsid w:val="5BF24800"/>
    <w:rsid w:val="5C08655C"/>
    <w:rsid w:val="5C357B5F"/>
    <w:rsid w:val="5C4521B0"/>
    <w:rsid w:val="5C473309"/>
    <w:rsid w:val="5C4926FF"/>
    <w:rsid w:val="5C4A069B"/>
    <w:rsid w:val="5C85148E"/>
    <w:rsid w:val="5C9307FB"/>
    <w:rsid w:val="5C9F44C2"/>
    <w:rsid w:val="5CB93195"/>
    <w:rsid w:val="5CC41D80"/>
    <w:rsid w:val="5CCF3B1A"/>
    <w:rsid w:val="5CD4601F"/>
    <w:rsid w:val="5CDD69F5"/>
    <w:rsid w:val="5CF22878"/>
    <w:rsid w:val="5CF4139A"/>
    <w:rsid w:val="5CF81A09"/>
    <w:rsid w:val="5D006C95"/>
    <w:rsid w:val="5D24117B"/>
    <w:rsid w:val="5D3E33D2"/>
    <w:rsid w:val="5D5364CD"/>
    <w:rsid w:val="5D693C9C"/>
    <w:rsid w:val="5DE973D6"/>
    <w:rsid w:val="5E484E95"/>
    <w:rsid w:val="5E546A76"/>
    <w:rsid w:val="5E5A23F4"/>
    <w:rsid w:val="5E742333"/>
    <w:rsid w:val="5E8D2D21"/>
    <w:rsid w:val="5E9F118A"/>
    <w:rsid w:val="5EBD1212"/>
    <w:rsid w:val="5EBF073B"/>
    <w:rsid w:val="5ED36964"/>
    <w:rsid w:val="5ED60EED"/>
    <w:rsid w:val="5EFE0496"/>
    <w:rsid w:val="5F0A527B"/>
    <w:rsid w:val="5F255BC5"/>
    <w:rsid w:val="5F3529FD"/>
    <w:rsid w:val="5F3F339D"/>
    <w:rsid w:val="5F51476F"/>
    <w:rsid w:val="5F572A2B"/>
    <w:rsid w:val="5F656444"/>
    <w:rsid w:val="5FCE32AF"/>
    <w:rsid w:val="5FE1582B"/>
    <w:rsid w:val="5FE20A14"/>
    <w:rsid w:val="5FF51B98"/>
    <w:rsid w:val="60055342"/>
    <w:rsid w:val="6017749F"/>
    <w:rsid w:val="60237BF2"/>
    <w:rsid w:val="60545CED"/>
    <w:rsid w:val="6056362E"/>
    <w:rsid w:val="60736778"/>
    <w:rsid w:val="60846283"/>
    <w:rsid w:val="608A3BA9"/>
    <w:rsid w:val="60BC3FEF"/>
    <w:rsid w:val="60D715E6"/>
    <w:rsid w:val="60E50A8F"/>
    <w:rsid w:val="60EC120B"/>
    <w:rsid w:val="60EE598F"/>
    <w:rsid w:val="612C0778"/>
    <w:rsid w:val="615208C7"/>
    <w:rsid w:val="61537EE4"/>
    <w:rsid w:val="616B54C8"/>
    <w:rsid w:val="61702C98"/>
    <w:rsid w:val="61963A72"/>
    <w:rsid w:val="61BA4586"/>
    <w:rsid w:val="61BE0CF0"/>
    <w:rsid w:val="61D11AE4"/>
    <w:rsid w:val="61E237F8"/>
    <w:rsid w:val="62020579"/>
    <w:rsid w:val="621C0B76"/>
    <w:rsid w:val="623F329A"/>
    <w:rsid w:val="624C1628"/>
    <w:rsid w:val="626601FE"/>
    <w:rsid w:val="62695E27"/>
    <w:rsid w:val="626E166E"/>
    <w:rsid w:val="627C1C65"/>
    <w:rsid w:val="627F48F3"/>
    <w:rsid w:val="628242DE"/>
    <w:rsid w:val="62901C12"/>
    <w:rsid w:val="62B358A7"/>
    <w:rsid w:val="62D37EDE"/>
    <w:rsid w:val="62DC4FFE"/>
    <w:rsid w:val="62E17A7E"/>
    <w:rsid w:val="62F32006"/>
    <w:rsid w:val="635244EA"/>
    <w:rsid w:val="635252D3"/>
    <w:rsid w:val="636127C3"/>
    <w:rsid w:val="636C7B02"/>
    <w:rsid w:val="63870355"/>
    <w:rsid w:val="63D736B7"/>
    <w:rsid w:val="63F5222D"/>
    <w:rsid w:val="640A036F"/>
    <w:rsid w:val="64684FF6"/>
    <w:rsid w:val="646D7F47"/>
    <w:rsid w:val="64E3778E"/>
    <w:rsid w:val="64F87681"/>
    <w:rsid w:val="65016282"/>
    <w:rsid w:val="652E4984"/>
    <w:rsid w:val="653308D7"/>
    <w:rsid w:val="6541100E"/>
    <w:rsid w:val="654C0BA8"/>
    <w:rsid w:val="65723276"/>
    <w:rsid w:val="65894ACB"/>
    <w:rsid w:val="65B601CD"/>
    <w:rsid w:val="65BC62F1"/>
    <w:rsid w:val="65C57730"/>
    <w:rsid w:val="65D03A9D"/>
    <w:rsid w:val="66113182"/>
    <w:rsid w:val="664352EB"/>
    <w:rsid w:val="665C2B0D"/>
    <w:rsid w:val="666D4FDC"/>
    <w:rsid w:val="66731291"/>
    <w:rsid w:val="667A0273"/>
    <w:rsid w:val="66903901"/>
    <w:rsid w:val="66C344E7"/>
    <w:rsid w:val="66F07010"/>
    <w:rsid w:val="66F7316A"/>
    <w:rsid w:val="66FC73C9"/>
    <w:rsid w:val="672079BD"/>
    <w:rsid w:val="67253AE9"/>
    <w:rsid w:val="674421AD"/>
    <w:rsid w:val="67E02C36"/>
    <w:rsid w:val="67E85D1C"/>
    <w:rsid w:val="681465D8"/>
    <w:rsid w:val="68235D74"/>
    <w:rsid w:val="683055A2"/>
    <w:rsid w:val="683E7EE4"/>
    <w:rsid w:val="684A6627"/>
    <w:rsid w:val="68517653"/>
    <w:rsid w:val="687B3426"/>
    <w:rsid w:val="68B712D5"/>
    <w:rsid w:val="68C65C0A"/>
    <w:rsid w:val="68E12ED2"/>
    <w:rsid w:val="68FD4084"/>
    <w:rsid w:val="69297938"/>
    <w:rsid w:val="69321393"/>
    <w:rsid w:val="693A4C13"/>
    <w:rsid w:val="696610E4"/>
    <w:rsid w:val="69A60F1E"/>
    <w:rsid w:val="69B2588C"/>
    <w:rsid w:val="69DC5F48"/>
    <w:rsid w:val="6A483248"/>
    <w:rsid w:val="6A6D75CE"/>
    <w:rsid w:val="6A83721D"/>
    <w:rsid w:val="6AA2282C"/>
    <w:rsid w:val="6AAA5C1D"/>
    <w:rsid w:val="6AB03EB2"/>
    <w:rsid w:val="6AB46016"/>
    <w:rsid w:val="6AD20623"/>
    <w:rsid w:val="6AE11313"/>
    <w:rsid w:val="6AE21101"/>
    <w:rsid w:val="6B1F3E40"/>
    <w:rsid w:val="6B4340D5"/>
    <w:rsid w:val="6B4F3B9E"/>
    <w:rsid w:val="6B893A4B"/>
    <w:rsid w:val="6BC12704"/>
    <w:rsid w:val="6BD63153"/>
    <w:rsid w:val="6BE960BC"/>
    <w:rsid w:val="6BEA3CBA"/>
    <w:rsid w:val="6C0F488B"/>
    <w:rsid w:val="6C3B4BAD"/>
    <w:rsid w:val="6C4526AF"/>
    <w:rsid w:val="6C5B55DC"/>
    <w:rsid w:val="6C5D6BCE"/>
    <w:rsid w:val="6C845EBC"/>
    <w:rsid w:val="6CAE03DD"/>
    <w:rsid w:val="6CCF0AA2"/>
    <w:rsid w:val="6CE262A4"/>
    <w:rsid w:val="6CE56E6B"/>
    <w:rsid w:val="6CE6359C"/>
    <w:rsid w:val="6D032DAA"/>
    <w:rsid w:val="6D1A704D"/>
    <w:rsid w:val="6D1E66A9"/>
    <w:rsid w:val="6D506D1C"/>
    <w:rsid w:val="6D61192D"/>
    <w:rsid w:val="6D675F3C"/>
    <w:rsid w:val="6D6C1DD5"/>
    <w:rsid w:val="6D7446CC"/>
    <w:rsid w:val="6D7521FE"/>
    <w:rsid w:val="6D7E5DF9"/>
    <w:rsid w:val="6D88011E"/>
    <w:rsid w:val="6D8A298C"/>
    <w:rsid w:val="6D965EA7"/>
    <w:rsid w:val="6DB35DAA"/>
    <w:rsid w:val="6DDE02DA"/>
    <w:rsid w:val="6DE93895"/>
    <w:rsid w:val="6DED206F"/>
    <w:rsid w:val="6DED3862"/>
    <w:rsid w:val="6E005A26"/>
    <w:rsid w:val="6E327B63"/>
    <w:rsid w:val="6E331B08"/>
    <w:rsid w:val="6E6329C5"/>
    <w:rsid w:val="6E690D37"/>
    <w:rsid w:val="6E6D7744"/>
    <w:rsid w:val="6E7F7DE4"/>
    <w:rsid w:val="6E8403F6"/>
    <w:rsid w:val="6E855F9B"/>
    <w:rsid w:val="6EAC616D"/>
    <w:rsid w:val="6EF26E02"/>
    <w:rsid w:val="6EFF345A"/>
    <w:rsid w:val="6F0E41D6"/>
    <w:rsid w:val="6F261946"/>
    <w:rsid w:val="6F545FAB"/>
    <w:rsid w:val="6F6124E5"/>
    <w:rsid w:val="6F7A7103"/>
    <w:rsid w:val="6F811C8E"/>
    <w:rsid w:val="6F8314B0"/>
    <w:rsid w:val="6F9305DF"/>
    <w:rsid w:val="6F9754E6"/>
    <w:rsid w:val="6FA006CC"/>
    <w:rsid w:val="6FB4540B"/>
    <w:rsid w:val="6FC700F2"/>
    <w:rsid w:val="6FCE67A2"/>
    <w:rsid w:val="6FF02DD6"/>
    <w:rsid w:val="6FF158D8"/>
    <w:rsid w:val="70105F1E"/>
    <w:rsid w:val="701D50DA"/>
    <w:rsid w:val="702F613F"/>
    <w:rsid w:val="7060771A"/>
    <w:rsid w:val="707444CE"/>
    <w:rsid w:val="70836D22"/>
    <w:rsid w:val="70871F10"/>
    <w:rsid w:val="70876740"/>
    <w:rsid w:val="70B6015D"/>
    <w:rsid w:val="70C73255"/>
    <w:rsid w:val="70D304FC"/>
    <w:rsid w:val="70D97BAF"/>
    <w:rsid w:val="70ED7E08"/>
    <w:rsid w:val="70F453A0"/>
    <w:rsid w:val="712E196D"/>
    <w:rsid w:val="714A6A1D"/>
    <w:rsid w:val="71610FBE"/>
    <w:rsid w:val="716A3DF9"/>
    <w:rsid w:val="716A3EDF"/>
    <w:rsid w:val="71A54FE2"/>
    <w:rsid w:val="71AD3163"/>
    <w:rsid w:val="71B473FD"/>
    <w:rsid w:val="71D20C99"/>
    <w:rsid w:val="71DA714C"/>
    <w:rsid w:val="71DB7C23"/>
    <w:rsid w:val="71EF33B7"/>
    <w:rsid w:val="72231CD3"/>
    <w:rsid w:val="72372CAD"/>
    <w:rsid w:val="725008FF"/>
    <w:rsid w:val="726B0346"/>
    <w:rsid w:val="72714091"/>
    <w:rsid w:val="72760778"/>
    <w:rsid w:val="7294672D"/>
    <w:rsid w:val="729B16F3"/>
    <w:rsid w:val="72A07888"/>
    <w:rsid w:val="72D249CB"/>
    <w:rsid w:val="72D87685"/>
    <w:rsid w:val="72F172BF"/>
    <w:rsid w:val="730218E9"/>
    <w:rsid w:val="7304482B"/>
    <w:rsid w:val="7344181A"/>
    <w:rsid w:val="735352FB"/>
    <w:rsid w:val="735B4A8E"/>
    <w:rsid w:val="736A1703"/>
    <w:rsid w:val="736D1458"/>
    <w:rsid w:val="737253F1"/>
    <w:rsid w:val="73806CBB"/>
    <w:rsid w:val="73A277FF"/>
    <w:rsid w:val="73B81E4C"/>
    <w:rsid w:val="73C0168D"/>
    <w:rsid w:val="73CD3976"/>
    <w:rsid w:val="73D8748B"/>
    <w:rsid w:val="73E02D1E"/>
    <w:rsid w:val="73EC4F6F"/>
    <w:rsid w:val="74034FF8"/>
    <w:rsid w:val="743104E3"/>
    <w:rsid w:val="74320C3C"/>
    <w:rsid w:val="74406823"/>
    <w:rsid w:val="74513162"/>
    <w:rsid w:val="74615626"/>
    <w:rsid w:val="746D771A"/>
    <w:rsid w:val="74CC6413"/>
    <w:rsid w:val="74DE741F"/>
    <w:rsid w:val="74E97204"/>
    <w:rsid w:val="74F0095C"/>
    <w:rsid w:val="75061ABB"/>
    <w:rsid w:val="75251AAA"/>
    <w:rsid w:val="75431AF8"/>
    <w:rsid w:val="75722CA5"/>
    <w:rsid w:val="757327BB"/>
    <w:rsid w:val="757B75BC"/>
    <w:rsid w:val="75892BAD"/>
    <w:rsid w:val="75C265D1"/>
    <w:rsid w:val="75D94B83"/>
    <w:rsid w:val="76031347"/>
    <w:rsid w:val="761B6BE8"/>
    <w:rsid w:val="76236EB2"/>
    <w:rsid w:val="762605C8"/>
    <w:rsid w:val="76406925"/>
    <w:rsid w:val="76744178"/>
    <w:rsid w:val="76893B07"/>
    <w:rsid w:val="76A665D3"/>
    <w:rsid w:val="76AA65FC"/>
    <w:rsid w:val="76AE5F7B"/>
    <w:rsid w:val="76B463AC"/>
    <w:rsid w:val="76D42F34"/>
    <w:rsid w:val="76DA5057"/>
    <w:rsid w:val="76F85C00"/>
    <w:rsid w:val="76F92B8E"/>
    <w:rsid w:val="76FA73DD"/>
    <w:rsid w:val="774909FB"/>
    <w:rsid w:val="77676789"/>
    <w:rsid w:val="7774006F"/>
    <w:rsid w:val="777D5C41"/>
    <w:rsid w:val="778F57A9"/>
    <w:rsid w:val="77AB62B1"/>
    <w:rsid w:val="77AE5C93"/>
    <w:rsid w:val="77C345AE"/>
    <w:rsid w:val="77D87C21"/>
    <w:rsid w:val="77ED577F"/>
    <w:rsid w:val="781E71C5"/>
    <w:rsid w:val="78214863"/>
    <w:rsid w:val="787D213D"/>
    <w:rsid w:val="78A05C27"/>
    <w:rsid w:val="78A71992"/>
    <w:rsid w:val="78B23039"/>
    <w:rsid w:val="78BD1F9D"/>
    <w:rsid w:val="78BD2CD7"/>
    <w:rsid w:val="78CE7FE4"/>
    <w:rsid w:val="78CF7984"/>
    <w:rsid w:val="78EA60DC"/>
    <w:rsid w:val="79201CE1"/>
    <w:rsid w:val="79211967"/>
    <w:rsid w:val="792E6092"/>
    <w:rsid w:val="793E3926"/>
    <w:rsid w:val="79707DB2"/>
    <w:rsid w:val="797148DA"/>
    <w:rsid w:val="7976582D"/>
    <w:rsid w:val="798B5B06"/>
    <w:rsid w:val="79A22C40"/>
    <w:rsid w:val="79B14724"/>
    <w:rsid w:val="79B355C1"/>
    <w:rsid w:val="79BD2A0E"/>
    <w:rsid w:val="79CD71E1"/>
    <w:rsid w:val="79DF0930"/>
    <w:rsid w:val="7A54586F"/>
    <w:rsid w:val="7A621A00"/>
    <w:rsid w:val="7A7B4401"/>
    <w:rsid w:val="7A905081"/>
    <w:rsid w:val="7ACB66ED"/>
    <w:rsid w:val="7AEF7305"/>
    <w:rsid w:val="7B3E0A41"/>
    <w:rsid w:val="7B6C46EB"/>
    <w:rsid w:val="7BB3045A"/>
    <w:rsid w:val="7BBD7B0F"/>
    <w:rsid w:val="7BC53962"/>
    <w:rsid w:val="7BF430D7"/>
    <w:rsid w:val="7C323980"/>
    <w:rsid w:val="7C8A30E5"/>
    <w:rsid w:val="7CB04CE6"/>
    <w:rsid w:val="7CDB3559"/>
    <w:rsid w:val="7CE97D7C"/>
    <w:rsid w:val="7CF14E85"/>
    <w:rsid w:val="7CF30B51"/>
    <w:rsid w:val="7D315305"/>
    <w:rsid w:val="7D4E34D0"/>
    <w:rsid w:val="7D4F613C"/>
    <w:rsid w:val="7D543CAC"/>
    <w:rsid w:val="7D6F6D36"/>
    <w:rsid w:val="7D862131"/>
    <w:rsid w:val="7D995DB5"/>
    <w:rsid w:val="7DBA04C7"/>
    <w:rsid w:val="7DE82108"/>
    <w:rsid w:val="7DE8565F"/>
    <w:rsid w:val="7E087602"/>
    <w:rsid w:val="7E0A672C"/>
    <w:rsid w:val="7E1B4D57"/>
    <w:rsid w:val="7E2662CB"/>
    <w:rsid w:val="7E2722FF"/>
    <w:rsid w:val="7E316FA8"/>
    <w:rsid w:val="7E3B6646"/>
    <w:rsid w:val="7E400B6D"/>
    <w:rsid w:val="7E456F3D"/>
    <w:rsid w:val="7E543DFE"/>
    <w:rsid w:val="7E561B5A"/>
    <w:rsid w:val="7E745CBB"/>
    <w:rsid w:val="7E7C58DC"/>
    <w:rsid w:val="7E9256DF"/>
    <w:rsid w:val="7EAB1865"/>
    <w:rsid w:val="7EC12F48"/>
    <w:rsid w:val="7ED61BCF"/>
    <w:rsid w:val="7EE919FF"/>
    <w:rsid w:val="7F0441A9"/>
    <w:rsid w:val="7F0C441B"/>
    <w:rsid w:val="7F13569D"/>
    <w:rsid w:val="7F58120E"/>
    <w:rsid w:val="7F653518"/>
    <w:rsid w:val="7F9F508F"/>
    <w:rsid w:val="7F9F6DBE"/>
    <w:rsid w:val="7FB87EFF"/>
    <w:rsid w:val="7FD01879"/>
    <w:rsid w:val="7FE63412"/>
    <w:rsid w:val="BE7F5F1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99"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autoRedefine/>
    <w:qFormat/>
    <w:uiPriority w:val="0"/>
    <w:pPr>
      <w:keepNext/>
      <w:keepLines/>
      <w:spacing w:before="340" w:after="330" w:line="576" w:lineRule="auto"/>
      <w:outlineLvl w:val="0"/>
    </w:pPr>
    <w:rPr>
      <w:b/>
      <w:kern w:val="44"/>
      <w:sz w:val="44"/>
    </w:rPr>
  </w:style>
  <w:style w:type="paragraph" w:styleId="4">
    <w:name w:val="heading 3"/>
    <w:basedOn w:val="1"/>
    <w:next w:val="1"/>
    <w:link w:val="23"/>
    <w:autoRedefine/>
    <w:qFormat/>
    <w:uiPriority w:val="0"/>
    <w:pPr>
      <w:keepNext/>
      <w:keepLines/>
      <w:widowControl/>
      <w:spacing w:before="260" w:after="260" w:line="413" w:lineRule="auto"/>
      <w:outlineLvl w:val="2"/>
    </w:pPr>
    <w:rPr>
      <w:rFonts w:ascii="Calibri" w:hAnsi="Calibri" w:cs="宋体"/>
      <w:b/>
      <w:sz w:val="32"/>
      <w:szCs w:val="2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widowControl w:val="0"/>
      <w:adjustRightInd/>
      <w:snapToGrid/>
      <w:jc w:val="both"/>
    </w:pPr>
    <w:rPr>
      <w:rFonts w:ascii="宋体" w:hAnsi="Courier New" w:cs="Times New Roman"/>
      <w:b/>
      <w:kern w:val="2"/>
      <w:szCs w:val="20"/>
    </w:rPr>
  </w:style>
  <w:style w:type="paragraph" w:styleId="5">
    <w:name w:val="Document Map"/>
    <w:basedOn w:val="1"/>
    <w:link w:val="30"/>
    <w:autoRedefine/>
    <w:qFormat/>
    <w:uiPriority w:val="99"/>
    <w:rPr>
      <w:rFonts w:ascii="宋体"/>
      <w:sz w:val="18"/>
      <w:szCs w:val="18"/>
    </w:rPr>
  </w:style>
  <w:style w:type="paragraph" w:styleId="6">
    <w:name w:val="annotation text"/>
    <w:basedOn w:val="1"/>
    <w:link w:val="33"/>
    <w:autoRedefine/>
    <w:qFormat/>
    <w:uiPriority w:val="99"/>
    <w:pPr>
      <w:jc w:val="left"/>
    </w:pPr>
  </w:style>
  <w:style w:type="paragraph" w:styleId="7">
    <w:name w:val="Body Text"/>
    <w:basedOn w:val="1"/>
    <w:next w:val="8"/>
    <w:link w:val="24"/>
    <w:autoRedefine/>
    <w:qFormat/>
    <w:uiPriority w:val="99"/>
    <w:pPr>
      <w:spacing w:after="120"/>
    </w:pPr>
  </w:style>
  <w:style w:type="paragraph" w:styleId="8">
    <w:name w:val="Body Text First Indent"/>
    <w:basedOn w:val="7"/>
    <w:link w:val="25"/>
    <w:autoRedefine/>
    <w:qFormat/>
    <w:uiPriority w:val="0"/>
    <w:pPr>
      <w:widowControl/>
      <w:ind w:firstLine="420" w:firstLineChars="100"/>
    </w:pPr>
    <w:rPr>
      <w:rFonts w:ascii="Calibri" w:hAnsi="Calibri" w:cs="宋体"/>
      <w:szCs w:val="22"/>
    </w:rPr>
  </w:style>
  <w:style w:type="paragraph" w:styleId="9">
    <w:name w:val="Body Text Indent"/>
    <w:basedOn w:val="1"/>
    <w:autoRedefine/>
    <w:qFormat/>
    <w:uiPriority w:val="0"/>
    <w:pPr>
      <w:spacing w:line="520" w:lineRule="exact"/>
      <w:ind w:left="570"/>
    </w:pPr>
    <w:rPr>
      <w:rFonts w:ascii="方正仿宋简体" w:hAnsi="汉仪仿宋简" w:eastAsia="方正仿宋简体"/>
      <w:sz w:val="24"/>
    </w:rPr>
  </w:style>
  <w:style w:type="paragraph" w:styleId="10">
    <w:name w:val="Balloon Text"/>
    <w:basedOn w:val="1"/>
    <w:link w:val="28"/>
    <w:autoRedefine/>
    <w:qFormat/>
    <w:uiPriority w:val="99"/>
    <w:rPr>
      <w:sz w:val="18"/>
      <w:szCs w:val="18"/>
    </w:rPr>
  </w:style>
  <w:style w:type="paragraph" w:styleId="11">
    <w:name w:val="footer"/>
    <w:basedOn w:val="1"/>
    <w:link w:val="27"/>
    <w:autoRedefine/>
    <w:qFormat/>
    <w:uiPriority w:val="99"/>
    <w:pPr>
      <w:tabs>
        <w:tab w:val="center" w:pos="4153"/>
        <w:tab w:val="right" w:pos="8306"/>
      </w:tabs>
      <w:snapToGrid w:val="0"/>
      <w:jc w:val="left"/>
    </w:pPr>
    <w:rPr>
      <w:sz w:val="18"/>
      <w:szCs w:val="18"/>
    </w:rPr>
  </w:style>
  <w:style w:type="paragraph" w:styleId="12">
    <w:name w:val="header"/>
    <w:basedOn w:val="1"/>
    <w:link w:val="26"/>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autoRedefine/>
    <w:qFormat/>
    <w:uiPriority w:val="99"/>
    <w:pPr>
      <w:spacing w:beforeAutospacing="1" w:afterAutospacing="1"/>
      <w:jc w:val="left"/>
    </w:pPr>
    <w:rPr>
      <w:rFonts w:asciiTheme="minorHAnsi" w:hAnsiTheme="minorHAnsi" w:eastAsiaTheme="minorEastAsia"/>
      <w:kern w:val="0"/>
      <w:sz w:val="24"/>
      <w:szCs w:val="24"/>
    </w:rPr>
  </w:style>
  <w:style w:type="paragraph" w:styleId="14">
    <w:name w:val="annotation subject"/>
    <w:basedOn w:val="6"/>
    <w:next w:val="6"/>
    <w:link w:val="36"/>
    <w:autoRedefine/>
    <w:unhideWhenUsed/>
    <w:qFormat/>
    <w:uiPriority w:val="99"/>
    <w:rPr>
      <w:b/>
      <w:bCs/>
    </w:rPr>
  </w:style>
  <w:style w:type="paragraph" w:styleId="15">
    <w:name w:val="Body Text First Indent 2"/>
    <w:basedOn w:val="9"/>
    <w:autoRedefine/>
    <w:qFormat/>
    <w:uiPriority w:val="0"/>
    <w:pPr>
      <w:spacing w:after="120" w:line="240" w:lineRule="auto"/>
      <w:ind w:left="420" w:leftChars="200" w:firstLine="420"/>
    </w:pPr>
    <w:rPr>
      <w:sz w:val="21"/>
    </w:rPr>
  </w:style>
  <w:style w:type="table" w:styleId="17">
    <w:name w:val="Table Grid"/>
    <w:basedOn w:val="1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autoRedefine/>
    <w:unhideWhenUsed/>
    <w:qFormat/>
    <w:uiPriority w:val="99"/>
    <w:rPr>
      <w:color w:val="0000FF" w:themeColor="hyperlink"/>
      <w:u w:val="single"/>
      <w14:textFill>
        <w14:solidFill>
          <w14:schemeClr w14:val="hlink"/>
        </w14:solidFill>
      </w14:textFill>
    </w:rPr>
  </w:style>
  <w:style w:type="character" w:styleId="20">
    <w:name w:val="annotation reference"/>
    <w:basedOn w:val="18"/>
    <w:autoRedefine/>
    <w:qFormat/>
    <w:uiPriority w:val="99"/>
    <w:rPr>
      <w:sz w:val="21"/>
      <w:szCs w:val="21"/>
    </w:rPr>
  </w:style>
  <w:style w:type="character" w:customStyle="1" w:styleId="21">
    <w:name w:val="正文缩进2格 Char"/>
    <w:link w:val="22"/>
    <w:autoRedefine/>
    <w:qFormat/>
    <w:uiPriority w:val="0"/>
    <w:rPr>
      <w:rFonts w:ascii="仿宋_GB2312" w:hAnsi="宋体" w:eastAsia="仿宋_GB2312" w:cs="仿宋_GB2312"/>
      <w:sz w:val="31"/>
      <w:szCs w:val="31"/>
    </w:rPr>
  </w:style>
  <w:style w:type="paragraph" w:customStyle="1" w:styleId="22">
    <w:name w:val="正文缩进2格"/>
    <w:basedOn w:val="1"/>
    <w:link w:val="21"/>
    <w:autoRedefine/>
    <w:qFormat/>
    <w:uiPriority w:val="0"/>
    <w:pPr>
      <w:spacing w:line="600" w:lineRule="exact"/>
      <w:ind w:firstLine="639" w:firstLineChars="206"/>
    </w:pPr>
    <w:rPr>
      <w:rFonts w:ascii="仿宋_GB2312" w:hAnsi="宋体" w:eastAsia="仿宋_GB2312" w:cs="仿宋_GB2312"/>
      <w:sz w:val="31"/>
      <w:szCs w:val="31"/>
    </w:rPr>
  </w:style>
  <w:style w:type="character" w:customStyle="1" w:styleId="23">
    <w:name w:val="标题 3 字符"/>
    <w:basedOn w:val="18"/>
    <w:link w:val="4"/>
    <w:autoRedefine/>
    <w:qFormat/>
    <w:uiPriority w:val="0"/>
    <w:rPr>
      <w:rFonts w:eastAsia="宋体"/>
      <w:b/>
      <w:sz w:val="32"/>
    </w:rPr>
  </w:style>
  <w:style w:type="character" w:customStyle="1" w:styleId="24">
    <w:name w:val="正文文本 字符"/>
    <w:basedOn w:val="18"/>
    <w:link w:val="7"/>
    <w:autoRedefine/>
    <w:qFormat/>
    <w:uiPriority w:val="99"/>
    <w:rPr>
      <w:rFonts w:ascii="Times New Roman" w:hAnsi="Times New Roman" w:eastAsia="宋体" w:cs="Times New Roman"/>
      <w:szCs w:val="20"/>
    </w:rPr>
  </w:style>
  <w:style w:type="character" w:customStyle="1" w:styleId="25">
    <w:name w:val="正文文本首行缩进 字符"/>
    <w:basedOn w:val="24"/>
    <w:link w:val="8"/>
    <w:autoRedefine/>
    <w:qFormat/>
    <w:uiPriority w:val="0"/>
    <w:rPr>
      <w:rFonts w:ascii="Times New Roman" w:hAnsi="Times New Roman" w:eastAsia="宋体" w:cs="Times New Roman"/>
      <w:szCs w:val="20"/>
    </w:rPr>
  </w:style>
  <w:style w:type="character" w:customStyle="1" w:styleId="26">
    <w:name w:val="页眉 字符"/>
    <w:basedOn w:val="18"/>
    <w:link w:val="12"/>
    <w:autoRedefine/>
    <w:qFormat/>
    <w:uiPriority w:val="99"/>
    <w:rPr>
      <w:rFonts w:ascii="Times New Roman" w:hAnsi="Times New Roman" w:eastAsia="宋体" w:cs="Times New Roman"/>
      <w:sz w:val="18"/>
      <w:szCs w:val="18"/>
    </w:rPr>
  </w:style>
  <w:style w:type="character" w:customStyle="1" w:styleId="27">
    <w:name w:val="页脚 字符"/>
    <w:basedOn w:val="18"/>
    <w:link w:val="11"/>
    <w:autoRedefine/>
    <w:qFormat/>
    <w:uiPriority w:val="99"/>
    <w:rPr>
      <w:rFonts w:ascii="Times New Roman" w:hAnsi="Times New Roman" w:eastAsia="宋体" w:cs="Times New Roman"/>
      <w:sz w:val="18"/>
      <w:szCs w:val="18"/>
    </w:rPr>
  </w:style>
  <w:style w:type="character" w:customStyle="1" w:styleId="28">
    <w:name w:val="批注框文本 字符"/>
    <w:basedOn w:val="18"/>
    <w:link w:val="10"/>
    <w:autoRedefine/>
    <w:qFormat/>
    <w:uiPriority w:val="99"/>
    <w:rPr>
      <w:rFonts w:ascii="Times New Roman" w:hAnsi="Times New Roman" w:eastAsia="宋体" w:cs="Times New Roman"/>
      <w:kern w:val="2"/>
      <w:sz w:val="18"/>
      <w:szCs w:val="18"/>
    </w:rPr>
  </w:style>
  <w:style w:type="paragraph" w:customStyle="1" w:styleId="29">
    <w:name w:val="列出段落1"/>
    <w:basedOn w:val="1"/>
    <w:autoRedefine/>
    <w:qFormat/>
    <w:uiPriority w:val="0"/>
    <w:pPr>
      <w:ind w:firstLine="420" w:firstLineChars="200"/>
    </w:pPr>
  </w:style>
  <w:style w:type="character" w:customStyle="1" w:styleId="30">
    <w:name w:val="文档结构图 字符"/>
    <w:basedOn w:val="18"/>
    <w:link w:val="5"/>
    <w:autoRedefine/>
    <w:qFormat/>
    <w:uiPriority w:val="99"/>
    <w:rPr>
      <w:rFonts w:ascii="宋体" w:hAnsi="Times New Roman" w:eastAsia="宋体" w:cs="Times New Roman"/>
      <w:kern w:val="2"/>
      <w:sz w:val="18"/>
      <w:szCs w:val="18"/>
    </w:rPr>
  </w:style>
  <w:style w:type="paragraph" w:customStyle="1" w:styleId="31">
    <w:name w:val="列出段落2"/>
    <w:basedOn w:val="1"/>
    <w:autoRedefine/>
    <w:qFormat/>
    <w:uiPriority w:val="99"/>
    <w:pPr>
      <w:ind w:firstLine="420" w:firstLineChars="200"/>
    </w:pPr>
  </w:style>
  <w:style w:type="paragraph" w:customStyle="1" w:styleId="32">
    <w:name w:val="列表段落1"/>
    <w:basedOn w:val="1"/>
    <w:autoRedefine/>
    <w:qFormat/>
    <w:uiPriority w:val="34"/>
    <w:pPr>
      <w:ind w:firstLine="420" w:firstLineChars="200"/>
    </w:pPr>
  </w:style>
  <w:style w:type="character" w:customStyle="1" w:styleId="33">
    <w:name w:val="批注文字 字符"/>
    <w:basedOn w:val="18"/>
    <w:link w:val="6"/>
    <w:autoRedefine/>
    <w:qFormat/>
    <w:uiPriority w:val="99"/>
    <w:rPr>
      <w:rFonts w:ascii="Times New Roman" w:hAnsi="Times New Roman" w:cs="Times New Roman"/>
      <w:kern w:val="2"/>
      <w:sz w:val="21"/>
    </w:rPr>
  </w:style>
  <w:style w:type="character" w:customStyle="1" w:styleId="34">
    <w:name w:val="fontstyle01"/>
    <w:basedOn w:val="18"/>
    <w:autoRedefine/>
    <w:qFormat/>
    <w:uiPriority w:val="0"/>
    <w:rPr>
      <w:rFonts w:hint="eastAsia" w:ascii="仿宋" w:hAnsi="仿宋" w:eastAsia="仿宋"/>
      <w:color w:val="000000"/>
      <w:sz w:val="28"/>
      <w:szCs w:val="28"/>
    </w:rPr>
  </w:style>
  <w:style w:type="paragraph" w:customStyle="1" w:styleId="35">
    <w:name w:val="修订1"/>
    <w:autoRedefine/>
    <w:hidden/>
    <w:semiHidden/>
    <w:qFormat/>
    <w:uiPriority w:val="99"/>
    <w:rPr>
      <w:rFonts w:ascii="Times New Roman" w:hAnsi="Times New Roman" w:eastAsia="宋体" w:cs="Times New Roman"/>
      <w:kern w:val="2"/>
      <w:sz w:val="21"/>
      <w:lang w:val="en-US" w:eastAsia="zh-CN" w:bidi="ar-SA"/>
    </w:rPr>
  </w:style>
  <w:style w:type="character" w:customStyle="1" w:styleId="36">
    <w:name w:val="批注主题 字符"/>
    <w:basedOn w:val="33"/>
    <w:link w:val="14"/>
    <w:autoRedefine/>
    <w:semiHidden/>
    <w:qFormat/>
    <w:uiPriority w:val="99"/>
    <w:rPr>
      <w:rFonts w:ascii="Times New Roman" w:hAnsi="Times New Roman" w:eastAsia="宋体" w:cs="Times New Roman"/>
      <w:b/>
      <w:bCs/>
      <w:kern w:val="2"/>
      <w:sz w:val="21"/>
    </w:rPr>
  </w:style>
  <w:style w:type="paragraph" w:styleId="37">
    <w:name w:val="List Paragraph"/>
    <w:basedOn w:val="1"/>
    <w:autoRedefine/>
    <w:qFormat/>
    <w:uiPriority w:val="34"/>
    <w:pPr>
      <w:ind w:firstLine="420" w:firstLineChars="200"/>
    </w:pPr>
  </w:style>
  <w:style w:type="table" w:customStyle="1" w:styleId="38">
    <w:name w:val="网格表 6 彩色 - 着色 61"/>
    <w:basedOn w:val="16"/>
    <w:autoRedefine/>
    <w:qFormat/>
    <w:uiPriority w:val="51"/>
    <w:rPr>
      <w:color w:val="E46C0A" w:themeColor="accent6" w:themeShade="BF"/>
    </w:rPr>
    <w:tblPr>
      <w:tblBorders>
        <w:top w:val="single" w:color="FABF8F" w:themeColor="accent6" w:themeTint="99" w:sz="4" w:space="0"/>
        <w:left w:val="single" w:color="FABF8F" w:themeColor="accent6" w:themeTint="99" w:sz="4" w:space="0"/>
        <w:bottom w:val="single" w:color="FABF8F" w:themeColor="accent6" w:themeTint="99" w:sz="4" w:space="0"/>
        <w:right w:val="single" w:color="FABF8F" w:themeColor="accent6" w:themeTint="99" w:sz="4" w:space="0"/>
        <w:insideH w:val="single" w:color="FABF8F" w:themeColor="accent6" w:themeTint="99" w:sz="4" w:space="0"/>
        <w:insideV w:val="single" w:color="FABF8F" w:themeColor="accent6" w:themeTint="99" w:sz="4" w:space="0"/>
      </w:tblBorders>
    </w:tblPr>
    <w:tblStylePr w:type="firstRow">
      <w:rPr>
        <w:b/>
        <w:bCs/>
      </w:rPr>
      <w:tcPr>
        <w:tcBorders>
          <w:bottom w:val="single" w:color="FABF8F" w:themeColor="accent6" w:themeTint="99" w:sz="12" w:space="0"/>
        </w:tcBorders>
      </w:tcPr>
    </w:tblStylePr>
    <w:tblStylePr w:type="lastRow">
      <w:rPr>
        <w:b/>
        <w:bCs/>
      </w:rPr>
      <w:tcPr>
        <w:tcBorders>
          <w:top w:val="double" w:color="FABF8F" w:themeColor="accent6" w:themeTint="99" w:sz="4" w:space="0"/>
        </w:tcBorders>
      </w:tcPr>
    </w:tblStylePr>
    <w:tblStylePr w:type="firstCol">
      <w:rPr>
        <w:b/>
        <w:bCs/>
      </w:rPr>
    </w:tblStylePr>
    <w:tblStylePr w:type="lastCol">
      <w:rPr>
        <w:b/>
        <w:bCs/>
      </w:rPr>
    </w:tblStylePr>
    <w:tblStylePr w:type="band1Vert">
      <w:tcPr>
        <w:shd w:val="clear" w:color="auto" w:fill="FDE9D9" w:themeFill="accent6" w:themeFillTint="33"/>
      </w:tcPr>
    </w:tblStylePr>
    <w:tblStylePr w:type="band1Horz">
      <w:tcPr>
        <w:shd w:val="clear" w:color="auto" w:fill="FDE9D9" w:themeFill="accent6" w:themeFillTint="33"/>
      </w:tcPr>
    </w:tblStylePr>
  </w:style>
  <w:style w:type="paragraph" w:customStyle="1" w:styleId="39">
    <w:name w:val="_Style 13"/>
    <w:basedOn w:val="1"/>
    <w:next w:val="37"/>
    <w:autoRedefine/>
    <w:qFormat/>
    <w:uiPriority w:val="0"/>
    <w:pPr>
      <w:ind w:firstLine="420" w:firstLineChars="200"/>
    </w:pPr>
    <w:rPr>
      <w:rFonts w:ascii="Calibri" w:hAnsi="Calibri"/>
      <w:szCs w:val="24"/>
    </w:rPr>
  </w:style>
  <w:style w:type="character" w:customStyle="1" w:styleId="40">
    <w:name w:val="未处理的提及1"/>
    <w:basedOn w:val="18"/>
    <w:autoRedefine/>
    <w:semiHidden/>
    <w:unhideWhenUsed/>
    <w:qFormat/>
    <w:uiPriority w:val="99"/>
    <w:rPr>
      <w:color w:val="605E5C"/>
      <w:shd w:val="clear" w:color="auto" w:fill="E1DFDD"/>
    </w:rPr>
  </w:style>
  <w:style w:type="character" w:customStyle="1" w:styleId="41">
    <w:name w:val="未处理的提及2"/>
    <w:basedOn w:val="18"/>
    <w:autoRedefine/>
    <w:semiHidden/>
    <w:unhideWhenUsed/>
    <w:qFormat/>
    <w:uiPriority w:val="99"/>
    <w:rPr>
      <w:color w:val="605E5C"/>
      <w:shd w:val="clear" w:color="auto" w:fill="E1DFDD"/>
    </w:rPr>
  </w:style>
  <w:style w:type="paragraph" w:customStyle="1" w:styleId="42">
    <w:name w:val="修订2"/>
    <w:autoRedefine/>
    <w:hidden/>
    <w:semiHidden/>
    <w:qFormat/>
    <w:uiPriority w:val="99"/>
    <w:rPr>
      <w:rFonts w:ascii="Times New Roman" w:hAnsi="Times New Roman" w:eastAsia="宋体" w:cs="Times New Roman"/>
      <w:kern w:val="2"/>
      <w:sz w:val="21"/>
      <w:lang w:val="en-US" w:eastAsia="zh-CN" w:bidi="ar-SA"/>
    </w:rPr>
  </w:style>
  <w:style w:type="character" w:customStyle="1" w:styleId="43">
    <w:name w:val="font12"/>
    <w:basedOn w:val="18"/>
    <w:autoRedefine/>
    <w:qFormat/>
    <w:uiPriority w:val="0"/>
    <w:rPr>
      <w:rFonts w:hint="eastAsia" w:ascii="宋体" w:hAnsi="宋体" w:eastAsia="宋体" w:cs="宋体"/>
      <w:color w:val="000000"/>
      <w:sz w:val="16"/>
      <w:szCs w:val="16"/>
      <w:u w:val="none"/>
    </w:rPr>
  </w:style>
  <w:style w:type="character" w:customStyle="1" w:styleId="44">
    <w:name w:val="font81"/>
    <w:basedOn w:val="18"/>
    <w:autoRedefine/>
    <w:qFormat/>
    <w:uiPriority w:val="0"/>
    <w:rPr>
      <w:rFonts w:hint="eastAsia" w:ascii="宋体" w:hAnsi="宋体" w:eastAsia="宋体" w:cs="宋体"/>
      <w:color w:val="000000"/>
      <w:sz w:val="22"/>
      <w:szCs w:val="22"/>
      <w:u w:val="none"/>
      <w:vertAlign w:val="superscript"/>
    </w:rPr>
  </w:style>
  <w:style w:type="character" w:customStyle="1" w:styleId="45">
    <w:name w:val="font112"/>
    <w:basedOn w:val="18"/>
    <w:autoRedefine/>
    <w:qFormat/>
    <w:uiPriority w:val="0"/>
    <w:rPr>
      <w:rFonts w:hint="eastAsia" w:ascii="宋体" w:hAnsi="宋体" w:eastAsia="宋体" w:cs="宋体"/>
      <w:color w:val="000000"/>
      <w:sz w:val="16"/>
      <w:szCs w:val="16"/>
      <w:u w:val="none"/>
    </w:rPr>
  </w:style>
  <w:style w:type="character" w:customStyle="1" w:styleId="46">
    <w:name w:val="font51"/>
    <w:basedOn w:val="18"/>
    <w:autoRedefine/>
    <w:qFormat/>
    <w:uiPriority w:val="0"/>
    <w:rPr>
      <w:rFonts w:hint="eastAsia" w:ascii="宋体" w:hAnsi="宋体" w:eastAsia="宋体" w:cs="宋体"/>
      <w:color w:val="000000"/>
      <w:sz w:val="22"/>
      <w:szCs w:val="22"/>
      <w:u w:val="none"/>
    </w:rPr>
  </w:style>
  <w:style w:type="character" w:customStyle="1" w:styleId="47">
    <w:name w:val="font121"/>
    <w:basedOn w:val="18"/>
    <w:autoRedefine/>
    <w:qFormat/>
    <w:uiPriority w:val="0"/>
    <w:rPr>
      <w:rFonts w:hint="eastAsia" w:ascii="宋体" w:hAnsi="宋体" w:eastAsia="宋体" w:cs="宋体"/>
      <w:color w:val="000000"/>
      <w:sz w:val="16"/>
      <w:szCs w:val="16"/>
      <w:u w:val="none"/>
    </w:rPr>
  </w:style>
  <w:style w:type="character" w:customStyle="1" w:styleId="48">
    <w:name w:val="font131"/>
    <w:basedOn w:val="18"/>
    <w:autoRedefine/>
    <w:qFormat/>
    <w:uiPriority w:val="0"/>
    <w:rPr>
      <w:rFonts w:hint="eastAsia" w:ascii="宋体" w:hAnsi="宋体" w:eastAsia="宋体" w:cs="宋体"/>
      <w:color w:val="000000"/>
      <w:sz w:val="22"/>
      <w:szCs w:val="22"/>
      <w:u w:val="none"/>
      <w:vertAlign w:val="subscript"/>
    </w:rPr>
  </w:style>
  <w:style w:type="character" w:customStyle="1" w:styleId="49">
    <w:name w:val="font101"/>
    <w:basedOn w:val="18"/>
    <w:autoRedefine/>
    <w:qFormat/>
    <w:uiPriority w:val="0"/>
    <w:rPr>
      <w:rFonts w:hint="eastAsia" w:ascii="仿宋" w:hAnsi="仿宋" w:eastAsia="仿宋" w:cs="仿宋"/>
      <w:color w:val="000000"/>
      <w:sz w:val="22"/>
      <w:szCs w:val="22"/>
      <w:u w:val="none"/>
    </w:rPr>
  </w:style>
  <w:style w:type="character" w:customStyle="1" w:styleId="50">
    <w:name w:val="font141"/>
    <w:basedOn w:val="18"/>
    <w:autoRedefine/>
    <w:qFormat/>
    <w:uiPriority w:val="0"/>
    <w:rPr>
      <w:rFonts w:ascii="微软雅黑" w:hAnsi="微软雅黑" w:eastAsia="微软雅黑" w:cs="微软雅黑"/>
      <w:color w:val="000000"/>
      <w:sz w:val="22"/>
      <w:szCs w:val="22"/>
      <w:u w:val="none"/>
    </w:rPr>
  </w:style>
  <w:style w:type="character" w:customStyle="1" w:styleId="51">
    <w:name w:val="font21"/>
    <w:basedOn w:val="18"/>
    <w:autoRedefine/>
    <w:qFormat/>
    <w:uiPriority w:val="0"/>
    <w:rPr>
      <w:rFonts w:hint="eastAsia" w:ascii="宋体" w:hAnsi="宋体" w:eastAsia="宋体" w:cs="宋体"/>
      <w:color w:val="000000"/>
      <w:sz w:val="22"/>
      <w:szCs w:val="22"/>
      <w:u w:val="none"/>
    </w:rPr>
  </w:style>
  <w:style w:type="character" w:customStyle="1" w:styleId="52">
    <w:name w:val="font31"/>
    <w:basedOn w:val="18"/>
    <w:autoRedefine/>
    <w:qFormat/>
    <w:uiPriority w:val="0"/>
    <w:rPr>
      <w:rFonts w:hint="default" w:ascii="Times New Roman" w:hAnsi="Times New Roman" w:cs="Times New Roman"/>
      <w:color w:val="000000"/>
      <w:sz w:val="22"/>
      <w:szCs w:val="22"/>
      <w:u w:val="none"/>
    </w:rPr>
  </w:style>
  <w:style w:type="character" w:customStyle="1" w:styleId="53">
    <w:name w:val="font11"/>
    <w:basedOn w:val="18"/>
    <w:autoRedefine/>
    <w:qFormat/>
    <w:uiPriority w:val="0"/>
    <w:rPr>
      <w:rFonts w:hint="eastAsia" w:ascii="宋体" w:hAnsi="宋体" w:eastAsia="宋体" w:cs="宋体"/>
      <w:color w:val="000000"/>
      <w:sz w:val="22"/>
      <w:szCs w:val="22"/>
      <w:u w:val="none"/>
    </w:rPr>
  </w:style>
  <w:style w:type="character" w:customStyle="1" w:styleId="54">
    <w:name w:val="font41"/>
    <w:basedOn w:val="18"/>
    <w:autoRedefine/>
    <w:qFormat/>
    <w:uiPriority w:val="0"/>
    <w:rPr>
      <w:rFonts w:hint="default" w:ascii="Times New Roman" w:hAnsi="Times New Roman" w:cs="Times New Roman"/>
      <w:color w:val="000000"/>
      <w:sz w:val="22"/>
      <w:szCs w:val="22"/>
      <w:u w:val="none"/>
    </w:rPr>
  </w:style>
  <w:style w:type="character" w:customStyle="1" w:styleId="55">
    <w:name w:val="font71"/>
    <w:basedOn w:val="18"/>
    <w:autoRedefine/>
    <w:qFormat/>
    <w:uiPriority w:val="0"/>
    <w:rPr>
      <w:rFonts w:hint="eastAsia" w:ascii="宋体" w:hAnsi="宋体" w:eastAsia="宋体" w:cs="宋体"/>
      <w:b/>
      <w:color w:val="000000"/>
      <w:sz w:val="22"/>
      <w:szCs w:val="22"/>
      <w:u w:val="none"/>
    </w:rPr>
  </w:style>
  <w:style w:type="character" w:customStyle="1" w:styleId="56">
    <w:name w:val="font91"/>
    <w:basedOn w:val="18"/>
    <w:autoRedefine/>
    <w:qFormat/>
    <w:uiPriority w:val="0"/>
    <w:rPr>
      <w:rFonts w:hint="eastAsia" w:ascii="宋体" w:hAnsi="宋体" w:eastAsia="宋体" w:cs="宋体"/>
      <w:color w:val="000000"/>
      <w:sz w:val="22"/>
      <w:szCs w:val="22"/>
      <w:u w:val="none"/>
    </w:rPr>
  </w:style>
  <w:style w:type="character" w:customStyle="1" w:styleId="57">
    <w:name w:val="font61"/>
    <w:basedOn w:val="18"/>
    <w:autoRedefine/>
    <w:qFormat/>
    <w:uiPriority w:val="0"/>
    <w:rPr>
      <w:rFonts w:hint="eastAsia" w:ascii="宋体" w:hAnsi="宋体" w:eastAsia="宋体" w:cs="宋体"/>
      <w:color w:val="000000"/>
      <w:sz w:val="22"/>
      <w:szCs w:val="22"/>
      <w:u w:val="none"/>
    </w:rPr>
  </w:style>
  <w:style w:type="character" w:customStyle="1" w:styleId="58">
    <w:name w:val="font01"/>
    <w:basedOn w:val="18"/>
    <w:autoRedefine/>
    <w:qFormat/>
    <w:uiPriority w:val="0"/>
    <w:rPr>
      <w:rFonts w:hint="eastAsia" w:ascii="宋体" w:hAnsi="宋体" w:eastAsia="宋体" w:cs="宋体"/>
      <w:b/>
      <w:color w:val="000000"/>
      <w:sz w:val="22"/>
      <w:szCs w:val="22"/>
      <w:u w:val="none"/>
    </w:rPr>
  </w:style>
  <w:style w:type="paragraph" w:customStyle="1" w:styleId="59">
    <w:name w:val="WPSOffice手动目录 1"/>
    <w:autoRedefine/>
    <w:qFormat/>
    <w:uiPriority w:val="0"/>
    <w:rPr>
      <w:rFonts w:ascii="Times New Roman" w:hAnsi="Times New Roman" w:eastAsia="宋体" w:cs="Times New Roman"/>
      <w:lang w:val="en-US" w:eastAsia="zh-CN" w:bidi="ar-SA"/>
    </w:rPr>
  </w:style>
  <w:style w:type="paragraph" w:customStyle="1" w:styleId="60">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1">
    <w:name w:val="修订3"/>
    <w:autoRedefine/>
    <w:hidden/>
    <w:semiHidden/>
    <w:qFormat/>
    <w:uiPriority w:val="99"/>
    <w:rPr>
      <w:rFonts w:ascii="Times New Roman" w:hAnsi="Times New Roman" w:eastAsia="宋体" w:cs="Times New Roman"/>
      <w:kern w:val="2"/>
      <w:sz w:val="21"/>
      <w:lang w:val="en-US" w:eastAsia="zh-CN" w:bidi="ar-SA"/>
    </w:rPr>
  </w:style>
  <w:style w:type="paragraph" w:customStyle="1" w:styleId="62">
    <w:name w:val="修订4"/>
    <w:autoRedefine/>
    <w:hidden/>
    <w:semiHidden/>
    <w:qFormat/>
    <w:uiPriority w:val="99"/>
    <w:rPr>
      <w:rFonts w:ascii="Times New Roman" w:hAnsi="Times New Roman" w:eastAsia="宋体" w:cs="Times New Roman"/>
      <w:kern w:val="2"/>
      <w:sz w:val="21"/>
      <w:lang w:val="en-US" w:eastAsia="zh-CN" w:bidi="ar-SA"/>
    </w:rPr>
  </w:style>
  <w:style w:type="paragraph" w:customStyle="1" w:styleId="63">
    <w:name w:val="Revision"/>
    <w:autoRedefine/>
    <w:hidden/>
    <w:semiHidden/>
    <w:qFormat/>
    <w:uiPriority w:val="99"/>
    <w:rPr>
      <w:rFonts w:ascii="Times New Roman" w:hAnsi="Times New Roman" w:eastAsia="宋体" w:cs="Times New Roman"/>
      <w:kern w:val="2"/>
      <w:sz w:val="21"/>
      <w:lang w:val="en-US" w:eastAsia="zh-CN" w:bidi="ar-SA"/>
    </w:rPr>
  </w:style>
  <w:style w:type="table" w:customStyle="1" w:styleId="64">
    <w:name w:val="Table Normal"/>
    <w:autoRedefine/>
    <w:unhideWhenUsed/>
    <w:qFormat/>
    <w:uiPriority w:val="0"/>
    <w:tblPr>
      <w:tblCellMar>
        <w:top w:w="0" w:type="dxa"/>
        <w:left w:w="0" w:type="dxa"/>
        <w:bottom w:w="0" w:type="dxa"/>
        <w:right w:w="0" w:type="dxa"/>
      </w:tblCellMar>
    </w:tblPr>
  </w:style>
  <w:style w:type="paragraph" w:customStyle="1" w:styleId="65">
    <w:name w:val="样式 正文首行缩进 + 首行缩进:  1 字符"/>
    <w:basedOn w:val="1"/>
    <w:next w:val="1"/>
    <w:qFormat/>
    <w:uiPriority w:val="0"/>
    <w:pPr>
      <w:ind w:firstLine="200" w:firstLineChars="200"/>
    </w:pPr>
    <w:rPr>
      <w:rFonts w:cs="宋体"/>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Chinese ORG</Company>
  <Pages>65</Pages>
  <Words>2735</Words>
  <Characters>2851</Characters>
  <Lines>70</Lines>
  <Paragraphs>19</Paragraphs>
  <TotalTime>69</TotalTime>
  <ScaleCrop>false</ScaleCrop>
  <LinksUpToDate>false</LinksUpToDate>
  <CharactersWithSpaces>2853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2021-07-14T03:21:00Z</dcterms:created>
  <dc:creator>Jeo Xie</dc:creator>
  <cp:lastModifiedBy> </cp:lastModifiedBy>
  <cp:lastPrinted>2025-12-15T07:44:31Z</cp:lastPrinted>
  <dcterms:modified xsi:type="dcterms:W3CDTF">2025-12-15T08:30:11Z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8A19AB552A3C44029C44989B1F4F72E4_13</vt:lpwstr>
  </property>
  <property fmtid="{D5CDD505-2E9C-101B-9397-08002B2CF9AE}" pid="4" name="KSOTemplateDocerSaveRecord">
    <vt:lpwstr>eyJoZGlkIjoiN2ZmNGE0NjRjYTU2OTJjMjE3ZjcyYmQ3ZmYzYmY2NjciLCJ1c2VySWQiOiIxNjEyMzQ1MDU4In0=</vt:lpwstr>
  </property>
</Properties>
</file>