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采购文件</w:t>
      </w:r>
    </w:p>
    <w:p>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拟采购一批生产物资，现将相关情况介绍如下：</w:t>
      </w:r>
    </w:p>
    <w:p>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pPr>
        <w:pStyle w:val="30"/>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东莞市海心沙资源综合利用中心环保热电厂生产物资采购项目（第</w:t>
      </w:r>
      <w:r>
        <w:rPr>
          <w:rFonts w:hint="eastAsia" w:eastAsia="仿宋"/>
          <w:sz w:val="32"/>
          <w:szCs w:val="32"/>
          <w:highlight w:val="none"/>
          <w:lang w:val="en-US" w:eastAsia="zh-CN"/>
        </w:rPr>
        <w:t>13</w:t>
      </w:r>
      <w:r>
        <w:rPr>
          <w:rFonts w:hint="eastAsia" w:eastAsia="仿宋"/>
          <w:sz w:val="32"/>
          <w:szCs w:val="32"/>
          <w:highlight w:val="none"/>
          <w:lang w:eastAsia="zh-CN"/>
        </w:rPr>
        <w:t>批）（</w:t>
      </w:r>
      <w:r>
        <w:rPr>
          <w:rFonts w:hint="eastAsia" w:eastAsia="仿宋"/>
          <w:sz w:val="32"/>
          <w:szCs w:val="32"/>
          <w:highlight w:val="none"/>
          <w:lang w:val="en-US" w:eastAsia="zh-CN"/>
        </w:rPr>
        <w:t>重新采购</w:t>
      </w:r>
      <w:r>
        <w:rPr>
          <w:rFonts w:hint="eastAsia" w:eastAsia="仿宋"/>
          <w:sz w:val="32"/>
          <w:szCs w:val="32"/>
          <w:highlight w:val="none"/>
          <w:lang w:eastAsia="zh-CN"/>
        </w:rPr>
        <w:t>）</w:t>
      </w:r>
    </w:p>
    <w:p>
      <w:pPr>
        <w:pStyle w:val="30"/>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生产物资</w:t>
      </w:r>
      <w:r>
        <w:rPr>
          <w:rFonts w:eastAsia="仿宋"/>
          <w:sz w:val="32"/>
          <w:szCs w:val="32"/>
          <w:highlight w:val="none"/>
        </w:rPr>
        <w:t>采购、包装、保管、供货、运输、提供技术资料、质量保证及售后服务等内容。</w:t>
      </w:r>
    </w:p>
    <w:p>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rPr>
        <w:t>报价人</w:t>
      </w:r>
      <w:r>
        <w:rPr>
          <w:rFonts w:ascii="仿宋" w:hAnsi="仿宋" w:eastAsia="仿宋"/>
          <w:b/>
          <w:bCs/>
          <w:sz w:val="32"/>
          <w:szCs w:val="32"/>
          <w:highlight w:val="none"/>
        </w:rPr>
        <w:t>资格要求</w:t>
      </w:r>
      <w:bookmarkEnd w:id="3"/>
    </w:p>
    <w:p>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1、报价人必须是具有独立承担民事责任能力的企业或事业单位法人或其它组织。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pPr>
        <w:spacing w:line="360" w:lineRule="auto"/>
        <w:ind w:firstLine="640" w:firstLineChars="200"/>
        <w:rPr>
          <w:rFonts w:eastAsia="仿宋"/>
          <w:highlight w:val="none"/>
        </w:rPr>
      </w:pPr>
      <w:r>
        <w:rPr>
          <w:rFonts w:hint="eastAsia" w:ascii="仿宋" w:hAnsi="仿宋" w:eastAsia="仿宋"/>
          <w:sz w:val="32"/>
          <w:szCs w:val="32"/>
          <w:highlight w:val="none"/>
        </w:rPr>
        <w:t>2、报价人必须具有20</w:t>
      </w:r>
      <w:r>
        <w:rPr>
          <w:rFonts w:hint="eastAsia" w:ascii="仿宋" w:hAnsi="仿宋" w:eastAsia="仿宋"/>
          <w:sz w:val="32"/>
          <w:szCs w:val="32"/>
          <w:highlight w:val="none"/>
          <w:lang w:val="en-US" w:eastAsia="zh-CN"/>
        </w:rPr>
        <w:t>20年1月1日</w:t>
      </w:r>
      <w:r>
        <w:rPr>
          <w:rFonts w:hint="eastAsia" w:ascii="仿宋" w:hAnsi="仿宋" w:eastAsia="仿宋"/>
          <w:sz w:val="32"/>
          <w:szCs w:val="32"/>
          <w:highlight w:val="none"/>
        </w:rPr>
        <w:t>起至今同类货物供货的经验</w:t>
      </w:r>
      <w:r>
        <w:rPr>
          <w:rFonts w:hint="eastAsia" w:ascii="仿宋" w:hAnsi="仿宋" w:eastAsia="仿宋"/>
          <w:sz w:val="32"/>
          <w:szCs w:val="32"/>
          <w:highlight w:val="none"/>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highlight w:val="none"/>
          <w:lang w:val="en-US" w:eastAsia="zh-CN"/>
        </w:rPr>
        <w:t>证明材料</w:t>
      </w:r>
      <w:r>
        <w:rPr>
          <w:rFonts w:hint="eastAsia" w:ascii="仿宋" w:hAnsi="仿宋" w:eastAsia="仿宋"/>
          <w:sz w:val="32"/>
          <w:szCs w:val="32"/>
          <w:highlight w:val="none"/>
          <w:lang w:eastAsia="zh-CN"/>
        </w:rPr>
        <w:t>加盖公章】</w:t>
      </w:r>
    </w:p>
    <w:p>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及品质要求详见附件八《</w:t>
      </w:r>
      <w:r>
        <w:rPr>
          <w:rFonts w:hint="eastAsia" w:eastAsia="仿宋"/>
          <w:sz w:val="32"/>
          <w:szCs w:val="32"/>
          <w:highlight w:val="none"/>
          <w:lang w:eastAsia="zh-CN"/>
        </w:rPr>
        <w:t>东莞市海心沙资源综合利用中心环保热电厂生产物资采购项目（第</w:t>
      </w:r>
      <w:r>
        <w:rPr>
          <w:rFonts w:hint="eastAsia" w:eastAsia="仿宋"/>
          <w:sz w:val="32"/>
          <w:szCs w:val="32"/>
          <w:highlight w:val="none"/>
          <w:lang w:val="en-US" w:eastAsia="zh-CN"/>
        </w:rPr>
        <w:t>13</w:t>
      </w:r>
      <w:r>
        <w:rPr>
          <w:rFonts w:hint="eastAsia" w:eastAsia="仿宋"/>
          <w:sz w:val="32"/>
          <w:szCs w:val="32"/>
          <w:highlight w:val="none"/>
          <w:lang w:eastAsia="zh-CN"/>
        </w:rPr>
        <w:t>批）（</w:t>
      </w:r>
      <w:r>
        <w:rPr>
          <w:rFonts w:hint="eastAsia" w:eastAsia="仿宋"/>
          <w:sz w:val="32"/>
          <w:szCs w:val="32"/>
          <w:highlight w:val="none"/>
          <w:lang w:val="en-US" w:eastAsia="zh-CN"/>
        </w:rPr>
        <w:t>重新采购</w:t>
      </w:r>
      <w:r>
        <w:rPr>
          <w:rFonts w:hint="eastAsia" w:eastAsia="仿宋"/>
          <w:sz w:val="32"/>
          <w:szCs w:val="32"/>
          <w:highlight w:val="none"/>
          <w:lang w:eastAsia="zh-CN"/>
        </w:rPr>
        <w:t>）</w:t>
      </w:r>
      <w:r>
        <w:rPr>
          <w:rFonts w:hint="eastAsia" w:eastAsia="仿宋"/>
          <w:sz w:val="32"/>
          <w:szCs w:val="32"/>
          <w:highlight w:val="none"/>
        </w:rPr>
        <w:t>清单</w:t>
      </w:r>
      <w:r>
        <w:rPr>
          <w:rFonts w:hint="eastAsia" w:ascii="仿宋" w:hAnsi="仿宋" w:eastAsia="仿宋"/>
          <w:b/>
          <w:bCs/>
          <w:color w:val="000000" w:themeColor="text1"/>
          <w:sz w:val="32"/>
          <w:szCs w:val="32"/>
          <w:highlight w:val="none"/>
          <w14:textFill>
            <w14:solidFill>
              <w14:schemeClr w14:val="tx1"/>
            </w14:solidFill>
          </w14:textFill>
        </w:rPr>
        <w:t>》。</w:t>
      </w:r>
    </w:p>
    <w:p>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rPr>
        <w:t>报价人应详细核对及阅读采购清单及技术要求，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如有遗漏造成报价失误由报</w:t>
      </w:r>
      <w:r>
        <w:rPr>
          <w:rFonts w:hint="eastAsia" w:ascii="仿宋" w:hAnsi="仿宋" w:eastAsia="仿宋"/>
          <w:sz w:val="32"/>
          <w:szCs w:val="32"/>
          <w:highlight w:val="none"/>
        </w:rPr>
        <w:t>价人自行负责。</w:t>
      </w:r>
    </w:p>
    <w:p>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所有物资必须符合采购清单内的材质、性能、规格、工艺等要求；且均为合格产品，来源合法。若有品牌要求，报价人须保证所供货物为品牌正品，</w:t>
      </w:r>
      <w:r>
        <w:rPr>
          <w:rFonts w:hint="eastAsia" w:eastAsia="仿宋_GB2312"/>
          <w:b/>
          <w:bCs/>
          <w:sz w:val="32"/>
          <w:szCs w:val="32"/>
          <w:highlight w:val="none"/>
        </w:rPr>
        <w:t>报价人供货前或供货时，采购人有权要求报价人出具品牌授权证明材料</w:t>
      </w:r>
      <w:r>
        <w:rPr>
          <w:rFonts w:hint="eastAsia" w:eastAsia="仿宋_GB2312"/>
          <w:sz w:val="32"/>
          <w:szCs w:val="32"/>
          <w:highlight w:val="none"/>
        </w:rPr>
        <w:t>；若无具体品牌要求，在满足规格型号的条件下，可选择国产优质品牌，符合国家或行业标准。</w:t>
      </w:r>
    </w:p>
    <w:p>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东莞市海心沙资源综合利用中心环保热电厂生产物资采购项目（第</w:t>
      </w:r>
      <w:r>
        <w:rPr>
          <w:rFonts w:hint="eastAsia" w:eastAsia="仿宋_GB2312"/>
          <w:sz w:val="32"/>
          <w:szCs w:val="32"/>
          <w:highlight w:val="none"/>
          <w:lang w:val="en-US" w:eastAsia="zh-CN"/>
        </w:rPr>
        <w:t>13</w:t>
      </w:r>
      <w:r>
        <w:rPr>
          <w:rFonts w:hint="eastAsia" w:eastAsia="仿宋_GB2312"/>
          <w:sz w:val="32"/>
          <w:szCs w:val="32"/>
          <w:highlight w:val="none"/>
          <w:lang w:eastAsia="zh-CN"/>
        </w:rPr>
        <w:t>批）（</w:t>
      </w:r>
      <w:r>
        <w:rPr>
          <w:rFonts w:hint="eastAsia" w:eastAsia="仿宋_GB2312"/>
          <w:sz w:val="32"/>
          <w:szCs w:val="32"/>
          <w:highlight w:val="none"/>
          <w:lang w:val="en-US" w:eastAsia="zh-CN"/>
        </w:rPr>
        <w:t>重新采购</w:t>
      </w:r>
      <w:r>
        <w:rPr>
          <w:rFonts w:hint="eastAsia" w:eastAsia="仿宋_GB2312"/>
          <w:sz w:val="32"/>
          <w:szCs w:val="32"/>
          <w:highlight w:val="none"/>
          <w:lang w:eastAsia="zh-CN"/>
        </w:rPr>
        <w:t>）</w:t>
      </w:r>
      <w:r>
        <w:rPr>
          <w:rFonts w:hint="eastAsia" w:eastAsia="仿宋_GB2312"/>
          <w:sz w:val="32"/>
          <w:szCs w:val="32"/>
          <w:highlight w:val="none"/>
        </w:rPr>
        <w:t>清单》要求且符合国家相关标准。供货时报价人有义务配合采购人进行货品真伪验证（供货时出具合格有效的出厂证明、合格证、检测证明等相关文件）。</w:t>
      </w:r>
    </w:p>
    <w:p>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（五）如采购人所要求货物品牌对应型号已停产或已更换型号编号，报价人可提供同品牌、同等或更优参数、同材质、满足采购人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使用需求的其他型号替代品，并备注说明情况。如经采购人核实情况不属实的，视为报价人提交虚假报价文件，同时取消报价人资格。</w:t>
      </w:r>
    </w:p>
    <w:p>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本项目为采购人原设备配套用生产物资，报价人所报货物必须满足本项目附件清单所要求对应品牌型号的全部参数要求。</w:t>
      </w:r>
    </w:p>
    <w:p>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如报价人所报生产物资品牌不在采购清单品牌范围内的，则报价人必须提供同等档次品牌或质量更优品牌产品。同时，报价人所报品牌生产物资必须完全满足采购人原有设备的使用需求、机械尺寸及配套需求。如报价人所报生产物资在实际供货中与采购人原有设备有任何不适配或无法满足使用需求的，采购人有权要求报价人在限期内将生产物资更换为采购人原附件清单内的品牌型号生产物资。如报价人拒绝或无法在限期内更换的，采购人有权自行购买，所产生的费用差额由报价人承担，报价人拒绝响应达三次以上的，采购人有权单方面取消合同并追究报价人的违约责任。</w:t>
      </w:r>
    </w:p>
    <w:p>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七）</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报价人须与对应专业工程师对清单物资进行确认并确保满足现场使用需求，因报价人未进行确认造成所报物资不满足现场使用需求的，报价人须在3个工作日内完成更换直至满足采购人使用需求，因此产生的费用由报价人承担。报价人如需现场确认的设备及备件情况的，可联系对应专工申请现场踏勘。</w:t>
      </w:r>
    </w:p>
    <w:p>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pPr>
        <w:spacing w:line="276" w:lineRule="auto"/>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发出结果确认函之日起，</w:t>
      </w:r>
      <w:r>
        <w:rPr>
          <w:rFonts w:hint="eastAsia" w:ascii="仿宋" w:hAnsi="仿宋" w:eastAsia="仿宋"/>
          <w:sz w:val="32"/>
          <w:szCs w:val="32"/>
          <w:highlight w:val="none"/>
          <w:lang w:val="en-US" w:eastAsia="zh-CN"/>
        </w:rPr>
        <w:t>成交人在</w:t>
      </w:r>
      <w:r>
        <w:rPr>
          <w:rFonts w:hint="eastAsia" w:ascii="仿宋" w:hAnsi="仿宋" w:eastAsia="仿宋"/>
          <w:sz w:val="32"/>
          <w:szCs w:val="32"/>
          <w:highlight w:val="none"/>
        </w:rPr>
        <w:t>15个日历日内完成所有物资供货，并经采购人验收合格。</w:t>
      </w:r>
    </w:p>
    <w:p>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pPr>
        <w:pStyle w:val="14"/>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pPr>
        <w:spacing w:line="360" w:lineRule="auto"/>
        <w:ind w:firstLine="640" w:firstLineChars="200"/>
        <w:outlineLvl w:val="1"/>
        <w:rPr>
          <w:rFonts w:ascii="仿宋" w:hAnsi="仿宋" w:eastAsia="仿宋"/>
          <w:sz w:val="32"/>
          <w:szCs w:val="32"/>
          <w:highlight w:val="none"/>
        </w:rPr>
      </w:pPr>
      <w:bookmarkStart w:id="10" w:name="_Hlk77259672"/>
      <w:bookmarkStart w:id="11" w:name="_Hlk63759280"/>
      <w:r>
        <w:rPr>
          <w:rFonts w:hint="eastAsia" w:ascii="仿宋" w:hAnsi="仿宋" w:eastAsia="仿宋"/>
          <w:sz w:val="32"/>
          <w:szCs w:val="32"/>
          <w:highlight w:val="none"/>
        </w:rPr>
        <w:t>本项目货款按月度进行结算，每月3日前，成交人向采购人提交上月供货对账单，双方对验收合格入库的货物数量及金额核对无误后，成交人在三个工作日内向采购人提交合法有效的等额增值税专用发票，采购人在当月</w:t>
      </w:r>
      <w:r>
        <w:rPr>
          <w:rFonts w:hint="eastAsia" w:ascii="仿宋" w:hAnsi="仿宋" w:eastAsia="仿宋"/>
          <w:sz w:val="32"/>
          <w:szCs w:val="32"/>
          <w:highlight w:val="none"/>
          <w:lang w:val="en-US" w:eastAsia="zh-CN"/>
        </w:rPr>
        <w:t>30</w:t>
      </w:r>
      <w:r>
        <w:rPr>
          <w:rFonts w:hint="eastAsia" w:ascii="仿宋" w:hAnsi="仿宋" w:eastAsia="仿宋"/>
          <w:sz w:val="32"/>
          <w:szCs w:val="32"/>
          <w:highlight w:val="none"/>
        </w:rPr>
        <w:t>日前向成交人支付上月入库货物金额的100%。成交人逾期递交对账单或发票的，采购人有权延迟一个月付款。</w:t>
      </w:r>
      <w:bookmarkEnd w:id="10"/>
      <w:bookmarkStart w:id="12" w:name="_Hlk57795626"/>
    </w:p>
    <w:bookmarkEnd w:id="11"/>
    <w:bookmarkEnd w:id="12"/>
    <w:p>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3"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3"/>
    </w:p>
    <w:p>
      <w:pPr>
        <w:spacing w:line="360" w:lineRule="auto"/>
        <w:ind w:firstLine="643" w:firstLineChars="200"/>
        <w:outlineLvl w:val="1"/>
        <w:rPr>
          <w:rFonts w:ascii="仿宋" w:hAnsi="仿宋" w:eastAsia="仿宋"/>
          <w:b/>
          <w:bCs/>
          <w:sz w:val="32"/>
          <w:szCs w:val="32"/>
          <w:highlight w:val="none"/>
        </w:rPr>
      </w:pPr>
      <w:bookmarkStart w:id="14"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4"/>
    </w:p>
    <w:p>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rPr>
        <w:t>本次项目采用询价方式进行采购，原则上以含税总价的最低报价的报价人为成交人。</w:t>
      </w:r>
    </w:p>
    <w:p>
      <w:pPr>
        <w:spacing w:line="360" w:lineRule="auto"/>
        <w:ind w:firstLine="640" w:firstLineChars="200"/>
        <w:outlineLvl w:val="1"/>
        <w:rPr>
          <w:rFonts w:eastAsia="仿宋_GB2312"/>
          <w:sz w:val="32"/>
          <w:szCs w:val="32"/>
          <w:highlight w:val="none"/>
        </w:rPr>
      </w:pPr>
      <w:r>
        <w:rPr>
          <w:rFonts w:hint="eastAsia" w:eastAsia="仿宋_GB2312"/>
          <w:sz w:val="32"/>
          <w:szCs w:val="32"/>
          <w:highlight w:val="none"/>
        </w:rPr>
        <w:t>开标结束后由我司招标成本部将相关询价情况报我司招标采购工作小组审定，由我司招标采购工作小组定标。</w:t>
      </w:r>
    </w:p>
    <w:p>
      <w:pPr>
        <w:spacing w:line="360" w:lineRule="auto"/>
        <w:ind w:firstLine="643" w:firstLineChars="200"/>
        <w:outlineLvl w:val="1"/>
        <w:rPr>
          <w:rFonts w:ascii="仿宋" w:hAnsi="仿宋" w:eastAsia="仿宋"/>
          <w:b/>
          <w:bCs/>
          <w:sz w:val="32"/>
          <w:szCs w:val="32"/>
          <w:highlight w:val="none"/>
        </w:rPr>
      </w:pPr>
      <w:bookmarkStart w:id="15"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5"/>
    </w:p>
    <w:p>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、报价文件及补充说明等。确定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收款前需向采购人提供请款材料和开具合法有效等额的增值税专用发票，否则采购人有权拒绝付款。</w:t>
      </w:r>
    </w:p>
    <w:p>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、报价文件的组成部分</w:t>
      </w:r>
      <w:r>
        <w:rPr>
          <w:rFonts w:hint="eastAsia" w:ascii="仿宋" w:hAnsi="仿宋" w:eastAsia="仿宋"/>
          <w:b/>
          <w:bCs/>
          <w:sz w:val="32"/>
          <w:szCs w:val="32"/>
          <w:highlight w:val="none"/>
        </w:rPr>
        <w:t>（报价人如未按本项要求提供资料，则作无效报价处理）</w:t>
      </w:r>
    </w:p>
    <w:p>
      <w:pPr>
        <w:numPr>
          <w:ilvl w:val="0"/>
          <w:numId w:val="1"/>
        </w:numPr>
        <w:spacing w:line="360" w:lineRule="auto"/>
        <w:ind w:left="-10" w:leftChars="0" w:firstLine="640" w:firstLineChars="0"/>
        <w:outlineLvl w:val="1"/>
        <w:rPr>
          <w:rFonts w:ascii="仿宋" w:hAnsi="仿宋" w:eastAsia="仿宋"/>
          <w:sz w:val="32"/>
          <w:szCs w:val="32"/>
          <w:highlight w:val="none"/>
        </w:rPr>
      </w:pPr>
      <w:bookmarkStart w:id="16"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6"/>
    </w:p>
    <w:p>
      <w:pPr>
        <w:spacing w:line="360" w:lineRule="auto"/>
        <w:ind w:firstLine="640" w:firstLineChars="200"/>
        <w:outlineLvl w:val="1"/>
        <w:rPr>
          <w:rFonts w:ascii="仿宋" w:hAnsi="仿宋" w:eastAsia="仿宋"/>
          <w:sz w:val="32"/>
          <w:szCs w:val="32"/>
          <w:highlight w:val="none"/>
        </w:rPr>
      </w:pPr>
      <w:bookmarkStart w:id="17"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7"/>
    </w:p>
    <w:p>
      <w:pPr>
        <w:spacing w:line="360" w:lineRule="auto"/>
        <w:ind w:firstLine="640" w:firstLineChars="200"/>
        <w:outlineLvl w:val="1"/>
        <w:rPr>
          <w:rFonts w:ascii="仿宋" w:hAnsi="仿宋" w:eastAsia="仿宋"/>
          <w:sz w:val="32"/>
          <w:szCs w:val="32"/>
          <w:highlight w:val="none"/>
        </w:rPr>
      </w:pPr>
      <w:bookmarkStart w:id="18"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8"/>
    </w:p>
    <w:p>
      <w:pPr>
        <w:spacing w:line="360" w:lineRule="auto"/>
        <w:ind w:firstLine="640" w:firstLineChars="200"/>
        <w:outlineLvl w:val="1"/>
        <w:rPr>
          <w:rFonts w:ascii="仿宋" w:hAnsi="仿宋" w:eastAsia="仿宋"/>
          <w:sz w:val="32"/>
          <w:szCs w:val="32"/>
          <w:highlight w:val="none"/>
        </w:rPr>
      </w:pPr>
      <w:bookmarkStart w:id="19" w:name="_Toc5169_WPSOffice_Level2"/>
      <w:r>
        <w:rPr>
          <w:rFonts w:ascii="仿宋" w:hAnsi="仿宋" w:eastAsia="仿宋"/>
          <w:sz w:val="32"/>
          <w:szCs w:val="32"/>
          <w:highlight w:val="none"/>
        </w:rPr>
        <w:t>4、</w:t>
      </w:r>
      <w:r>
        <w:rPr>
          <w:rFonts w:hint="eastAsia" w:ascii="仿宋" w:hAnsi="仿宋" w:eastAsia="仿宋"/>
          <w:sz w:val="32"/>
          <w:szCs w:val="32"/>
          <w:highlight w:val="none"/>
        </w:rPr>
        <w:t>报价人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9"/>
    </w:p>
    <w:p>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5、业绩证明材料（按本项目报价人资格要求提供资料，加盖公章）；</w:t>
      </w:r>
    </w:p>
    <w:p>
      <w:pPr>
        <w:spacing w:line="360" w:lineRule="auto"/>
        <w:ind w:firstLine="640" w:firstLineChars="200"/>
        <w:outlineLvl w:val="1"/>
        <w:rPr>
          <w:rFonts w:ascii="仿宋" w:hAnsi="仿宋" w:eastAsia="仿宋"/>
          <w:sz w:val="32"/>
          <w:szCs w:val="32"/>
          <w:highlight w:val="none"/>
        </w:rPr>
      </w:pPr>
      <w:r>
        <w:rPr>
          <w:rFonts w:hint="eastAsia" w:ascii="Times New Roman" w:hAnsi="Times New Roman" w:eastAsia="仿宋" w:cs="Times New Roman"/>
          <w:sz w:val="32"/>
          <w:szCs w:val="32"/>
          <w:highlight w:val="none"/>
          <w:lang w:eastAsia="zh-CN"/>
        </w:rPr>
        <w:t>6</w:t>
      </w:r>
      <w:r>
        <w:rPr>
          <w:rFonts w:hint="default" w:ascii="Times New Roman" w:hAnsi="Times New Roman" w:eastAsia="仿宋" w:cs="Times New Roman"/>
          <w:sz w:val="32"/>
          <w:szCs w:val="32"/>
          <w:highlight w:val="none"/>
        </w:rPr>
        <w:t>、</w:t>
      </w:r>
      <w:bookmarkStart w:id="20" w:name="_Toc6431_WPSOffice_Level2"/>
      <w:r>
        <w:rPr>
          <w:rFonts w:hint="default" w:ascii="Times New Roman" w:hAnsi="Times New Roman" w:eastAsia="仿宋" w:cs="Times New Roman"/>
          <w:sz w:val="32"/>
          <w:szCs w:val="32"/>
          <w:highlight w:val="none"/>
        </w:rPr>
        <w:t>本项目询价文件要求或报价人认为应补充的其他资料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20"/>
    </w:p>
    <w:p>
      <w:pPr>
        <w:spacing w:line="360" w:lineRule="auto"/>
        <w:ind w:firstLine="643" w:firstLineChars="200"/>
        <w:rPr>
          <w:rFonts w:hint="eastAsia" w:ascii="仿宋" w:hAnsi="仿宋" w:eastAsia="仿宋"/>
          <w:b/>
          <w:bCs/>
          <w:sz w:val="32"/>
          <w:szCs w:val="32"/>
          <w:highlight w:val="yellow"/>
        </w:rPr>
      </w:pPr>
      <w:bookmarkStart w:id="21" w:name="_Toc17260_WPSOffice_Level2"/>
      <w:r>
        <w:rPr>
          <w:rFonts w:hint="eastAsia" w:ascii="仿宋" w:hAnsi="仿宋" w:eastAsia="仿宋"/>
          <w:b/>
          <w:bCs/>
          <w:sz w:val="32"/>
          <w:szCs w:val="32"/>
          <w:highlight w:val="yellow"/>
          <w:lang w:val="en-US" w:eastAsia="zh-CN"/>
        </w:rPr>
        <w:t>7</w:t>
      </w:r>
      <w:r>
        <w:rPr>
          <w:rFonts w:hint="eastAsia" w:ascii="仿宋" w:hAnsi="仿宋" w:eastAsia="仿宋"/>
          <w:b/>
          <w:bCs/>
          <w:sz w:val="32"/>
          <w:szCs w:val="32"/>
          <w:highlight w:val="yellow"/>
        </w:rPr>
        <w:t>、</w:t>
      </w:r>
      <w:r>
        <w:rPr>
          <w:rFonts w:hint="eastAsia" w:eastAsia="仿宋_GB2312"/>
          <w:b/>
          <w:bCs/>
          <w:color w:val="000000"/>
          <w:sz w:val="32"/>
          <w:szCs w:val="32"/>
          <w:highlight w:val="yellow"/>
          <w:lang w:val="en-US" w:eastAsia="zh-CN"/>
        </w:rPr>
        <w:t>响应承诺函</w:t>
      </w:r>
      <w:r>
        <w:rPr>
          <w:rFonts w:hint="eastAsia" w:eastAsia="仿宋_GB2312"/>
          <w:b/>
          <w:bCs/>
          <w:color w:val="000000"/>
          <w:sz w:val="32"/>
          <w:szCs w:val="32"/>
          <w:highlight w:val="yellow"/>
        </w:rPr>
        <w:t>（模板，详见附件</w:t>
      </w:r>
      <w:r>
        <w:rPr>
          <w:rFonts w:hint="eastAsia" w:eastAsia="仿宋_GB2312"/>
          <w:b/>
          <w:bCs/>
          <w:color w:val="000000"/>
          <w:sz w:val="32"/>
          <w:szCs w:val="32"/>
          <w:highlight w:val="yellow"/>
          <w:lang w:eastAsia="zh-CN"/>
        </w:rPr>
        <w:t>，</w:t>
      </w:r>
      <w:r>
        <w:rPr>
          <w:rFonts w:hint="eastAsia" w:eastAsia="仿宋_GB2312"/>
          <w:b/>
          <w:bCs/>
          <w:color w:val="000000"/>
          <w:sz w:val="32"/>
          <w:szCs w:val="32"/>
          <w:highlight w:val="yellow"/>
          <w:lang w:val="en-US" w:eastAsia="zh-CN"/>
        </w:rPr>
        <w:t>加盖公章</w:t>
      </w:r>
      <w:r>
        <w:rPr>
          <w:rFonts w:hint="eastAsia" w:eastAsia="仿宋_GB2312"/>
          <w:b/>
          <w:bCs/>
          <w:color w:val="000000"/>
          <w:sz w:val="32"/>
          <w:szCs w:val="32"/>
          <w:highlight w:val="yellow"/>
        </w:rPr>
        <w:t>）</w:t>
      </w:r>
    </w:p>
    <w:p>
      <w:pPr>
        <w:spacing w:line="360" w:lineRule="auto"/>
        <w:ind w:firstLine="640" w:firstLineChars="200"/>
        <w:rPr>
          <w:rFonts w:eastAsia="仿宋_GB2312"/>
          <w:sz w:val="32"/>
          <w:szCs w:val="32"/>
          <w:highlight w:val="none"/>
        </w:rPr>
      </w:pPr>
      <w:r>
        <w:rPr>
          <w:rFonts w:hint="eastAsia" w:ascii="仿宋" w:hAnsi="仿宋" w:eastAsia="仿宋"/>
          <w:sz w:val="32"/>
          <w:szCs w:val="32"/>
          <w:highlight w:val="none"/>
          <w:lang w:val="en-US" w:eastAsia="zh-CN"/>
        </w:rPr>
        <w:t>8、</w:t>
      </w:r>
      <w:r>
        <w:rPr>
          <w:rFonts w:hint="eastAsia" w:eastAsia="仿宋_GB2312"/>
          <w:sz w:val="32"/>
          <w:szCs w:val="32"/>
          <w:highlight w:val="none"/>
        </w:rPr>
        <w:t>投标人未到场声明（</w:t>
      </w:r>
      <w:r>
        <w:rPr>
          <w:rFonts w:hint="eastAsia" w:eastAsia="仿宋_GB2312"/>
          <w:sz w:val="32"/>
          <w:szCs w:val="32"/>
          <w:highlight w:val="none"/>
          <w:lang w:val="en-US" w:eastAsia="zh-CN"/>
        </w:rPr>
        <w:t>未参与现场开标必须提供</w:t>
      </w:r>
      <w:r>
        <w:rPr>
          <w:rFonts w:hint="eastAsia" w:eastAsia="仿宋_GB2312"/>
          <w:sz w:val="32"/>
          <w:szCs w:val="32"/>
          <w:highlight w:val="none"/>
        </w:rPr>
        <w:t>，详见附件）</w:t>
      </w:r>
      <w:bookmarkEnd w:id="21"/>
      <w:r>
        <w:rPr>
          <w:rFonts w:hint="eastAsia" w:eastAsia="仿宋_GB2312"/>
          <w:color w:val="000000" w:themeColor="text1"/>
          <w:sz w:val="32"/>
          <w:szCs w:val="32"/>
          <w:highlight w:val="none"/>
          <w14:textFill>
            <w14:solidFill>
              <w14:schemeClr w14:val="tx1"/>
            </w14:solidFill>
          </w14:textFill>
        </w:rPr>
        <w:t>。</w:t>
      </w:r>
    </w:p>
    <w:p>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1、正本一份、副本一份。</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2、报价人须严格按照采购人提供的表单格式及要求报价，响应文件必须装订或胶装成册，正本必须每页加盖公章，副本可使用正本复印件</w:t>
      </w:r>
      <w:r>
        <w:rPr>
          <w:rFonts w:hint="eastAsia" w:ascii="仿宋" w:hAnsi="仿宋" w:eastAsia="仿宋"/>
          <w:sz w:val="32"/>
          <w:szCs w:val="32"/>
          <w:highlight w:val="none"/>
          <w:lang w:val="en-US" w:eastAsia="zh-CN"/>
        </w:rPr>
        <w:t>但必须</w:t>
      </w:r>
      <w:r>
        <w:rPr>
          <w:rFonts w:hint="eastAsia" w:ascii="仿宋" w:hAnsi="仿宋" w:eastAsia="仿宋"/>
          <w:sz w:val="32"/>
          <w:szCs w:val="32"/>
          <w:highlight w:val="none"/>
        </w:rPr>
        <w:t>于封面及骑缝处加盖公章。</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3、响应文件必须密封完好，装有响应文件的文件袋须贴有密封条，于骑缝处加盖企业公章。不得以快递文件袋作为密封。</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4、报价人所递交的响应文件必须为盖章原件，公章、私章或签字不得为彩色/黑白的打印件/复印件。</w:t>
      </w:r>
    </w:p>
    <w:p>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5、报价人需将本项目密封文件袋封面（附件一）粘贴于响应文件密封袋上。</w:t>
      </w:r>
    </w:p>
    <w:p>
      <w:pPr>
        <w:pStyle w:val="2"/>
        <w:spacing w:line="360" w:lineRule="auto"/>
        <w:ind w:firstLine="640" w:firstLineChars="200"/>
        <w:rPr>
          <w:rFonts w:ascii="仿宋" w:hAnsi="仿宋" w:eastAsia="仿宋"/>
          <w:sz w:val="32"/>
          <w:szCs w:val="32"/>
          <w:highlight w:val="none"/>
        </w:rPr>
      </w:pPr>
      <w:r>
        <w:rPr>
          <w:rFonts w:hint="eastAsia" w:ascii="仿宋" w:hAnsi="仿宋" w:eastAsia="仿宋"/>
          <w:sz w:val="32"/>
          <w:szCs w:val="32"/>
          <w:highlight w:val="none"/>
        </w:rPr>
        <w:t>6、不符合本项要求的响应文件为无效报价。</w:t>
      </w:r>
    </w:p>
    <w:p>
      <w:pPr>
        <w:spacing w:line="360" w:lineRule="auto"/>
        <w:ind w:firstLine="643" w:firstLineChars="200"/>
        <w:outlineLvl w:val="1"/>
        <w:rPr>
          <w:rFonts w:ascii="仿宋" w:hAnsi="仿宋" w:eastAsia="仿宋"/>
          <w:b/>
          <w:bCs/>
          <w:sz w:val="32"/>
          <w:szCs w:val="32"/>
          <w:highlight w:val="none"/>
        </w:rPr>
      </w:pPr>
      <w:bookmarkStart w:id="22" w:name="_Toc406_WPSOffice_Level1"/>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2"/>
    </w:p>
    <w:p>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3</w:t>
      </w:r>
      <w:r>
        <w:rPr>
          <w:rFonts w:ascii="仿宋" w:hAnsi="仿宋" w:eastAsia="仿宋"/>
          <w:sz w:val="32"/>
          <w:szCs w:val="32"/>
          <w:highlight w:val="none"/>
        </w:rPr>
        <w:t>年</w:t>
      </w:r>
      <w:r>
        <w:rPr>
          <w:rFonts w:hint="eastAsia" w:ascii="仿宋" w:hAnsi="仿宋" w:eastAsia="仿宋"/>
          <w:sz w:val="32"/>
          <w:szCs w:val="32"/>
          <w:highlight w:val="none"/>
          <w:lang w:val="en-US" w:eastAsia="zh-CN"/>
        </w:rPr>
        <w:t xml:space="preserve">   </w:t>
      </w:r>
      <w:r>
        <w:rPr>
          <w:rFonts w:ascii="仿宋" w:hAnsi="仿宋" w:eastAsia="仿宋"/>
          <w:sz w:val="32"/>
          <w:szCs w:val="32"/>
          <w:highlight w:val="none"/>
        </w:rPr>
        <w:t>月</w:t>
      </w:r>
      <w:r>
        <w:rPr>
          <w:rFonts w:hint="eastAsia" w:ascii="仿宋" w:hAnsi="仿宋" w:eastAsia="仿宋"/>
          <w:sz w:val="32"/>
          <w:szCs w:val="32"/>
          <w:highlight w:val="none"/>
          <w:lang w:val="en-US" w:eastAsia="zh-CN"/>
        </w:rPr>
        <w:t xml:space="preserve">    </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 xml:space="preserve">  </w:t>
      </w:r>
      <w:r>
        <w:rPr>
          <w:rFonts w:ascii="仿宋" w:hAnsi="仿宋" w:eastAsia="仿宋"/>
          <w:sz w:val="32"/>
          <w:szCs w:val="32"/>
          <w:highlight w:val="none"/>
        </w:rPr>
        <w:t>）</w:t>
      </w:r>
      <w:r>
        <w:rPr>
          <w:rFonts w:hint="eastAsia" w:ascii="仿宋" w:hAnsi="仿宋" w:eastAsia="仿宋"/>
          <w:sz w:val="32"/>
          <w:szCs w:val="32"/>
          <w:highlight w:val="none"/>
        </w:rPr>
        <w:t>上午</w:t>
      </w:r>
      <w:r>
        <w:rPr>
          <w:rFonts w:ascii="仿宋" w:hAnsi="仿宋" w:eastAsia="仿宋"/>
          <w:sz w:val="32"/>
          <w:szCs w:val="32"/>
          <w:highlight w:val="none"/>
        </w:rPr>
        <w:t>10</w:t>
      </w:r>
      <w:r>
        <w:rPr>
          <w:rFonts w:hint="eastAsia" w:ascii="仿宋" w:hAnsi="仿宋" w:eastAsia="仿宋"/>
          <w:sz w:val="32"/>
          <w:szCs w:val="32"/>
          <w:highlight w:val="none"/>
        </w:rPr>
        <w:t>:</w:t>
      </w:r>
      <w:r>
        <w:rPr>
          <w:rFonts w:ascii="仿宋" w:hAnsi="仿宋" w:eastAsia="仿宋"/>
          <w:sz w:val="32"/>
          <w:szCs w:val="32"/>
          <w:highlight w:val="none"/>
        </w:rPr>
        <w:t>0</w:t>
      </w:r>
      <w:r>
        <w:rPr>
          <w:rFonts w:hint="eastAsia" w:ascii="仿宋" w:hAnsi="仿宋" w:eastAsia="仿宋"/>
          <w:sz w:val="32"/>
          <w:szCs w:val="32"/>
          <w:highlight w:val="none"/>
        </w:rPr>
        <w:t>0</w:t>
      </w:r>
      <w:r>
        <w:rPr>
          <w:rFonts w:ascii="仿宋" w:hAnsi="仿宋" w:eastAsia="仿宋"/>
          <w:sz w:val="32"/>
          <w:szCs w:val="32"/>
          <w:highlight w:val="none"/>
        </w:rPr>
        <w:t>。</w:t>
      </w:r>
    </w:p>
    <w:p>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本项目报价人可选择现场递交报价文件或邮寄报价文件，其中：</w:t>
      </w:r>
    </w:p>
    <w:p>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到开标地址提交报价文件并参加开标会议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拒收报价文件</w:t>
      </w:r>
      <w:r>
        <w:rPr>
          <w:rFonts w:hint="eastAsia" w:ascii="仿宋" w:hAnsi="仿宋" w:eastAsia="仿宋"/>
          <w:sz w:val="32"/>
          <w:szCs w:val="32"/>
          <w:highlight w:val="none"/>
        </w:rPr>
        <w:t>。</w:t>
      </w:r>
    </w:p>
    <w:p>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rPr>
        <w:t>报价人提交报价文件地址：东莞市麻涌镇大步村海心沙岛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pPr>
        <w:pStyle w:val="2"/>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必须确保响应文件密封完好，在开标截止时间前一日送达采购人处，须使用顺丰速运提前寄送（运费自理，采购人拒收到付件），因邮寄造成响应文件破损无效或文件丢失的责任由报价人自负，因快递派件人员无工作证等原因（如顺丰即日达）造成快递派件问题的责任由报价人自负，开标时间后送达的响应文件无效。</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r>
        <w:rPr>
          <w:highlight w:val="none"/>
        </w:rPr>
        <w:t xml:space="preserve"> </w:t>
      </w:r>
      <w:r>
        <w:rPr>
          <w:rFonts w:ascii="仿宋" w:hAnsi="仿宋" w:eastAsia="仿宋"/>
          <w:sz w:val="32"/>
          <w:szCs w:val="32"/>
          <w:highlight w:val="none"/>
        </w:rPr>
        <w:t>6010</w:t>
      </w:r>
    </w:p>
    <w:p>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pPr>
        <w:spacing w:line="360" w:lineRule="auto"/>
        <w:ind w:firstLine="640" w:firstLineChars="200"/>
        <w:outlineLvl w:val="1"/>
        <w:rPr>
          <w:rFonts w:ascii="仿宋" w:hAnsi="仿宋" w:eastAsia="仿宋" w:cs="仿宋"/>
          <w:color w:val="000000"/>
          <w:sz w:val="32"/>
          <w:szCs w:val="32"/>
          <w:highlight w:val="none"/>
        </w:rPr>
      </w:pPr>
      <w:bookmarkStart w:id="23" w:name="_Hlk517879660"/>
      <w:r>
        <w:rPr>
          <w:rFonts w:hint="eastAsia" w:ascii="仿宋" w:hAnsi="仿宋" w:eastAsia="仿宋" w:cs="仿宋"/>
          <w:color w:val="000000"/>
          <w:sz w:val="32"/>
          <w:szCs w:val="32"/>
          <w:highlight w:val="none"/>
        </w:rPr>
        <w:t>1、若报价人未按规定时间递交响应文件，视为放弃报价资格。</w:t>
      </w:r>
    </w:p>
    <w:p>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2、报价人如未按要求交纳保证金，则视为放弃报价/成交资格。</w:t>
      </w:r>
    </w:p>
    <w:p>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3、采购人向报价人提供的有关资料和数据，是采购人现有的能使报价人利用的资料，采购人对报价人由此而做出的推论、理解和结论概不负责。</w:t>
      </w:r>
    </w:p>
    <w:p>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5、本项目仅可提交一个报价方案，提交两个或以上报价方案的报价人视为无效报价。</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6、本项目不接受报价人其他附加条件。</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3）报价人提供虚假报价文件或虚假补充文件。</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8、有下列情形之一的，视为报价人串通询价，其响应无效：</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（1）不同报价人的响应文件由同一单位或者个人编制；</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（2）不同报价人委托同一单位或者个人办理响应事宜；</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（3）不同报价人的响应文件载明的项目管理成员或者联系人员为同一人；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（4）不同报价人的响应文件异常一致或者响应报价呈规律性差异；</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（5）不同报价人的响应文件相互混装；</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（6）不同报价人的响应保证金从同一单位或者个人的账户转出。</w:t>
      </w:r>
    </w:p>
    <w:p>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9、已列入采购人及上级单位部门黑名单的报价人视为无效报价。</w:t>
      </w:r>
      <w:bookmarkEnd w:id="23"/>
    </w:p>
    <w:p>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pPr>
        <w:keepNext w:val="0"/>
        <w:keepLines w:val="0"/>
        <w:pageBreakBefore w:val="0"/>
        <w:widowControl w:val="0"/>
        <w:kinsoku/>
        <w:wordWrap/>
        <w:overflowPunct/>
        <w:topLinePunct w:val="0"/>
        <w:autoSpaceDE/>
        <w:autoSpaceDN/>
        <w:bidi w:val="0"/>
        <w:adjustRightInd/>
        <w:snapToGrid w:val="0"/>
        <w:spacing w:before="156" w:line="324" w:lineRule="auto"/>
        <w:ind w:right="84" w:firstLine="4480" w:firstLineChars="14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3</w:t>
      </w:r>
      <w:r>
        <w:rPr>
          <w:rFonts w:hint="eastAsia" w:eastAsia="仿宋_GB2312"/>
          <w:sz w:val="32"/>
          <w:szCs w:val="32"/>
          <w:highlight w:val="none"/>
        </w:rPr>
        <w:t>年</w:t>
      </w:r>
      <w:r>
        <w:rPr>
          <w:rFonts w:hint="eastAsia" w:eastAsia="仿宋_GB2312"/>
          <w:sz w:val="32"/>
          <w:szCs w:val="32"/>
          <w:highlight w:val="none"/>
          <w:lang w:val="en-US" w:eastAsia="zh-CN"/>
        </w:rPr>
        <w:t xml:space="preserve">  </w:t>
      </w:r>
      <w:r>
        <w:rPr>
          <w:rFonts w:hint="eastAsia" w:eastAsia="仿宋_GB2312"/>
          <w:sz w:val="32"/>
          <w:szCs w:val="32"/>
          <w:highlight w:val="none"/>
        </w:rPr>
        <w:t>月</w:t>
      </w:r>
      <w:r>
        <w:rPr>
          <w:rFonts w:hint="eastAsia" w:eastAsia="仿宋_GB2312"/>
          <w:sz w:val="32"/>
          <w:szCs w:val="32"/>
          <w:highlight w:val="none"/>
          <w:lang w:val="en-US" w:eastAsia="zh-CN"/>
        </w:rPr>
        <w:t xml:space="preserve">  </w:t>
      </w:r>
      <w:r>
        <w:rPr>
          <w:rFonts w:hint="eastAsia" w:eastAsia="仿宋_GB2312"/>
          <w:sz w:val="32"/>
          <w:szCs w:val="32"/>
          <w:highlight w:val="none"/>
        </w:rPr>
        <w:t>日</w:t>
      </w:r>
    </w:p>
    <w:p>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pPr>
        <w:pStyle w:val="28"/>
        <w:numPr>
          <w:ilvl w:val="0"/>
          <w:numId w:val="2"/>
        </w:numPr>
        <w:spacing w:line="360" w:lineRule="auto"/>
        <w:ind w:firstLineChars="0"/>
        <w:outlineLvl w:val="1"/>
        <w:rPr>
          <w:rFonts w:ascii="仿宋" w:hAnsi="仿宋" w:eastAsia="仿宋"/>
          <w:b/>
          <w:bCs/>
          <w:sz w:val="28"/>
          <w:szCs w:val="44"/>
          <w:highlight w:val="none"/>
        </w:rPr>
      </w:pPr>
      <w:bookmarkStart w:id="24" w:name="_Toc7977_WPSOffice_Level1"/>
      <w:bookmarkStart w:id="25" w:name="_Hlk524442005"/>
      <w:r>
        <w:rPr>
          <w:rFonts w:hint="eastAsia" w:ascii="仿宋" w:hAnsi="仿宋" w:eastAsia="仿宋"/>
          <w:b/>
          <w:bCs/>
          <w:sz w:val="28"/>
          <w:szCs w:val="44"/>
          <w:highlight w:val="none"/>
        </w:rPr>
        <w:t>密封文件袋封面</w:t>
      </w:r>
      <w:bookmarkEnd w:id="24"/>
    </w:p>
    <w:p>
      <w:pPr>
        <w:pStyle w:val="28"/>
        <w:spacing w:line="360" w:lineRule="auto"/>
        <w:ind w:firstLine="0" w:firstLineChars="0"/>
        <w:outlineLvl w:val="1"/>
        <w:rPr>
          <w:rFonts w:ascii="仿宋" w:hAnsi="仿宋" w:eastAsia="仿宋"/>
          <w:b/>
          <w:bCs/>
          <w:sz w:val="28"/>
          <w:szCs w:val="44"/>
          <w:highlight w:val="none"/>
        </w:rPr>
      </w:pPr>
    </w:p>
    <w:p>
      <w:pPr>
        <w:rPr>
          <w:rFonts w:ascii="仿宋" w:hAnsi="仿宋" w:eastAsia="仿宋"/>
          <w:b/>
          <w:bCs/>
          <w:sz w:val="52"/>
          <w:szCs w:val="52"/>
          <w:highlight w:val="none"/>
        </w:rPr>
      </w:pPr>
      <w:bookmarkStart w:id="26" w:name="_Toc406_WPSOffice_Level2"/>
    </w:p>
    <w:bookmarkEnd w:id="26"/>
    <w:p>
      <w:pPr>
        <w:jc w:val="center"/>
        <w:rPr>
          <w:rFonts w:hint="eastAsia" w:ascii="仿宋" w:hAnsi="仿宋" w:eastAsia="仿宋"/>
          <w:b/>
          <w:bCs/>
          <w:sz w:val="52"/>
          <w:szCs w:val="52"/>
          <w:highlight w:val="none"/>
          <w:lang w:eastAsia="zh-CN"/>
        </w:rPr>
      </w:pPr>
      <w:bookmarkStart w:id="27" w:name="_Toc21841_WPSOffice_Level2"/>
      <w:r>
        <w:rPr>
          <w:rFonts w:hint="eastAsia" w:ascii="仿宋" w:hAnsi="仿宋" w:eastAsia="仿宋"/>
          <w:b/>
          <w:bCs/>
          <w:sz w:val="48"/>
          <w:szCs w:val="48"/>
          <w:highlight w:val="none"/>
          <w:lang w:eastAsia="zh-CN"/>
        </w:rPr>
        <w:t>东莞市海心沙资源综合利用中心环保热电厂生产物资采购项目（第</w:t>
      </w:r>
      <w:r>
        <w:rPr>
          <w:rFonts w:hint="eastAsia" w:ascii="仿宋" w:hAnsi="仿宋" w:eastAsia="仿宋"/>
          <w:b/>
          <w:bCs/>
          <w:sz w:val="48"/>
          <w:szCs w:val="48"/>
          <w:highlight w:val="none"/>
          <w:lang w:val="en-US" w:eastAsia="zh-CN"/>
        </w:rPr>
        <w:t>13</w:t>
      </w:r>
      <w:r>
        <w:rPr>
          <w:rFonts w:hint="eastAsia" w:ascii="仿宋" w:hAnsi="仿宋" w:eastAsia="仿宋"/>
          <w:b/>
          <w:bCs/>
          <w:sz w:val="48"/>
          <w:szCs w:val="48"/>
          <w:highlight w:val="none"/>
          <w:lang w:eastAsia="zh-CN"/>
        </w:rPr>
        <w:t>批）（</w:t>
      </w:r>
      <w:r>
        <w:rPr>
          <w:rFonts w:hint="eastAsia" w:ascii="仿宋" w:hAnsi="仿宋" w:eastAsia="仿宋"/>
          <w:b/>
          <w:bCs/>
          <w:sz w:val="48"/>
          <w:szCs w:val="48"/>
          <w:highlight w:val="none"/>
          <w:lang w:val="en-US" w:eastAsia="zh-CN"/>
        </w:rPr>
        <w:t>重新采购</w:t>
      </w:r>
      <w:r>
        <w:rPr>
          <w:rFonts w:hint="eastAsia" w:ascii="仿宋" w:hAnsi="仿宋" w:eastAsia="仿宋"/>
          <w:b/>
          <w:bCs/>
          <w:sz w:val="48"/>
          <w:szCs w:val="48"/>
          <w:highlight w:val="none"/>
          <w:lang w:eastAsia="zh-CN"/>
        </w:rPr>
        <w:t>）</w:t>
      </w:r>
    </w:p>
    <w:p>
      <w:pPr>
        <w:jc w:val="center"/>
        <w:rPr>
          <w:rFonts w:ascii="仿宋" w:hAnsi="仿宋" w:eastAsia="仿宋"/>
          <w:b/>
          <w:bCs/>
          <w:sz w:val="52"/>
          <w:szCs w:val="52"/>
          <w:highlight w:val="none"/>
        </w:rPr>
      </w:pPr>
    </w:p>
    <w:p>
      <w:pPr>
        <w:jc w:val="center"/>
        <w:rPr>
          <w:rFonts w:ascii="仿宋" w:hAnsi="仿宋" w:eastAsia="仿宋"/>
          <w:b/>
          <w:bCs/>
          <w:sz w:val="52"/>
          <w:szCs w:val="52"/>
          <w:highlight w:val="none"/>
        </w:rPr>
      </w:pPr>
      <w:r>
        <w:rPr>
          <w:rFonts w:hint="eastAsia" w:ascii="仿宋" w:hAnsi="仿宋" w:eastAsia="仿宋"/>
          <w:b/>
          <w:bCs/>
          <w:sz w:val="52"/>
          <w:szCs w:val="52"/>
          <w:highlight w:val="none"/>
        </w:rPr>
        <w:t>报价文件</w:t>
      </w:r>
      <w:bookmarkEnd w:id="27"/>
    </w:p>
    <w:p>
      <w:pPr>
        <w:rPr>
          <w:rFonts w:ascii="仿宋" w:hAnsi="仿宋" w:eastAsia="仿宋"/>
          <w:sz w:val="32"/>
          <w:szCs w:val="32"/>
          <w:highlight w:val="none"/>
        </w:rPr>
      </w:pPr>
    </w:p>
    <w:p>
      <w:pPr>
        <w:rPr>
          <w:rFonts w:ascii="仿宋" w:hAnsi="仿宋" w:eastAsia="仿宋"/>
          <w:sz w:val="32"/>
          <w:szCs w:val="32"/>
          <w:highlight w:val="none"/>
        </w:rPr>
      </w:pPr>
    </w:p>
    <w:p>
      <w:pPr>
        <w:rPr>
          <w:rFonts w:ascii="仿宋" w:hAnsi="仿宋" w:eastAsia="仿宋"/>
          <w:sz w:val="32"/>
          <w:szCs w:val="32"/>
          <w:highlight w:val="none"/>
        </w:rPr>
      </w:pPr>
    </w:p>
    <w:p>
      <w:pPr>
        <w:rPr>
          <w:rFonts w:ascii="仿宋" w:hAnsi="仿宋" w:eastAsia="仿宋"/>
          <w:sz w:val="32"/>
          <w:szCs w:val="32"/>
          <w:highlight w:val="none"/>
        </w:rPr>
      </w:pPr>
    </w:p>
    <w:p>
      <w:pPr>
        <w:ind w:firstLine="566" w:firstLineChars="177"/>
        <w:rPr>
          <w:rFonts w:ascii="仿宋" w:hAnsi="仿宋" w:eastAsia="仿宋"/>
          <w:sz w:val="32"/>
          <w:szCs w:val="32"/>
          <w:highlight w:val="none"/>
        </w:rPr>
      </w:pPr>
      <w:r>
        <w:rPr>
          <w:rFonts w:hint="eastAsia" w:ascii="仿宋" w:hAnsi="仿宋" w:eastAsia="仿宋"/>
          <w:sz w:val="32"/>
          <w:szCs w:val="32"/>
          <w:highlight w:val="none"/>
        </w:rPr>
        <w:t>报价人名称（加盖公章）：</w:t>
      </w:r>
      <w:r>
        <w:rPr>
          <w:rFonts w:ascii="仿宋" w:hAnsi="仿宋" w:eastAsia="仿宋"/>
          <w:sz w:val="32"/>
          <w:szCs w:val="32"/>
          <w:highlight w:val="none"/>
          <w:u w:val="single"/>
        </w:rPr>
        <w:t xml:space="preserve">                 </w:t>
      </w:r>
    </w:p>
    <w:p>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pPr>
        <w:pStyle w:val="28"/>
        <w:numPr>
          <w:ilvl w:val="255"/>
          <w:numId w:val="0"/>
        </w:numPr>
        <w:spacing w:line="360" w:lineRule="auto"/>
        <w:outlineLvl w:val="1"/>
        <w:rPr>
          <w:rFonts w:ascii="仿宋" w:hAnsi="仿宋" w:eastAsia="仿宋"/>
          <w:b/>
          <w:bCs/>
          <w:sz w:val="28"/>
          <w:szCs w:val="44"/>
          <w:highlight w:val="none"/>
        </w:rPr>
      </w:pPr>
    </w:p>
    <w:p>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pPr>
        <w:pStyle w:val="28"/>
        <w:numPr>
          <w:ilvl w:val="0"/>
          <w:numId w:val="2"/>
        </w:numPr>
        <w:spacing w:line="360" w:lineRule="auto"/>
        <w:ind w:firstLineChars="0"/>
        <w:outlineLvl w:val="1"/>
        <w:rPr>
          <w:rFonts w:ascii="仿宋" w:hAnsi="仿宋" w:eastAsia="仿宋"/>
          <w:b/>
          <w:bCs/>
          <w:sz w:val="28"/>
          <w:szCs w:val="44"/>
          <w:highlight w:val="none"/>
        </w:rPr>
      </w:pPr>
      <w:bookmarkStart w:id="28" w:name="_Toc25465_WPSOffice_Level1"/>
      <w:r>
        <w:rPr>
          <w:rFonts w:ascii="仿宋" w:hAnsi="仿宋" w:eastAsia="仿宋"/>
          <w:b/>
          <w:bCs/>
          <w:sz w:val="28"/>
          <w:szCs w:val="44"/>
          <w:highlight w:val="none"/>
        </w:rPr>
        <w:t>报价函</w:t>
      </w:r>
      <w:bookmarkEnd w:id="28"/>
    </w:p>
    <w:p>
      <w:pPr>
        <w:spacing w:line="360" w:lineRule="auto"/>
        <w:jc w:val="center"/>
        <w:rPr>
          <w:rFonts w:ascii="仿宋" w:hAnsi="仿宋" w:eastAsia="仿宋"/>
          <w:sz w:val="44"/>
          <w:szCs w:val="44"/>
          <w:highlight w:val="none"/>
        </w:rPr>
      </w:pPr>
      <w:bookmarkStart w:id="29" w:name="_Toc7726_WPSOffice_Level1"/>
      <w:r>
        <w:rPr>
          <w:rFonts w:ascii="仿宋" w:hAnsi="仿宋" w:eastAsia="仿宋"/>
          <w:sz w:val="44"/>
          <w:szCs w:val="44"/>
          <w:highlight w:val="none"/>
        </w:rPr>
        <w:t>报价函</w:t>
      </w:r>
      <w:bookmarkEnd w:id="29"/>
    </w:p>
    <w:p>
      <w:pPr>
        <w:spacing w:line="360" w:lineRule="auto"/>
        <w:ind w:firstLine="560"/>
        <w:rPr>
          <w:rFonts w:ascii="仿宋" w:hAnsi="仿宋" w:eastAsia="仿宋"/>
          <w:sz w:val="32"/>
          <w:szCs w:val="32"/>
          <w:highlight w:val="none"/>
        </w:rPr>
      </w:pPr>
    </w:p>
    <w:p>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ascii="仿宋" w:hAnsi="仿宋" w:eastAsia="仿宋"/>
          <w:sz w:val="32"/>
          <w:szCs w:val="32"/>
          <w:highlight w:val="none"/>
          <w:lang w:eastAsia="zh-CN"/>
        </w:rPr>
        <w:t>东莞市海心沙资源综合利用中心环保热电厂生产物资采购项目（第</w:t>
      </w:r>
      <w:r>
        <w:rPr>
          <w:rFonts w:hint="eastAsia" w:ascii="仿宋" w:hAnsi="仿宋" w:eastAsia="仿宋"/>
          <w:sz w:val="32"/>
          <w:szCs w:val="32"/>
          <w:highlight w:val="none"/>
          <w:lang w:val="en-US" w:eastAsia="zh-CN"/>
        </w:rPr>
        <w:t>13</w:t>
      </w:r>
      <w:r>
        <w:rPr>
          <w:rFonts w:hint="eastAsia" w:ascii="仿宋" w:hAnsi="仿宋" w:eastAsia="仿宋"/>
          <w:sz w:val="32"/>
          <w:szCs w:val="32"/>
          <w:highlight w:val="none"/>
          <w:lang w:eastAsia="zh-CN"/>
        </w:rPr>
        <w:t>批）（</w:t>
      </w:r>
      <w:r>
        <w:rPr>
          <w:rFonts w:hint="eastAsia" w:ascii="仿宋" w:hAnsi="仿宋" w:eastAsia="仿宋"/>
          <w:sz w:val="32"/>
          <w:szCs w:val="32"/>
          <w:highlight w:val="none"/>
          <w:lang w:val="en-US" w:eastAsia="zh-CN"/>
        </w:rPr>
        <w:t>重新采购</w:t>
      </w:r>
      <w:r>
        <w:rPr>
          <w:rFonts w:hint="eastAsia" w:ascii="仿宋" w:hAnsi="仿宋" w:eastAsia="仿宋"/>
          <w:sz w:val="32"/>
          <w:szCs w:val="32"/>
          <w:highlight w:val="none"/>
          <w:lang w:eastAsia="zh-CN"/>
        </w:rPr>
        <w:t>）</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pPr>
        <w:wordWrap w:val="0"/>
        <w:spacing w:line="360" w:lineRule="auto"/>
        <w:rPr>
          <w:rFonts w:ascii="仿宋" w:hAnsi="仿宋" w:eastAsia="仿宋"/>
          <w:sz w:val="32"/>
          <w:szCs w:val="32"/>
          <w:highlight w:val="none"/>
        </w:rPr>
      </w:pPr>
    </w:p>
    <w:p>
      <w:pPr>
        <w:widowControl/>
        <w:jc w:val="left"/>
        <w:rPr>
          <w:rFonts w:ascii="仿宋" w:hAnsi="仿宋" w:eastAsia="仿宋"/>
          <w:sz w:val="44"/>
          <w:szCs w:val="44"/>
          <w:highlight w:val="none"/>
        </w:rPr>
      </w:pPr>
      <w:bookmarkStart w:id="30" w:name="_Toc20373_WPSOffice_Level1"/>
      <w:r>
        <w:rPr>
          <w:rFonts w:ascii="仿宋" w:hAnsi="仿宋" w:eastAsia="仿宋"/>
          <w:sz w:val="44"/>
          <w:szCs w:val="44"/>
          <w:highlight w:val="none"/>
        </w:rPr>
        <w:br w:type="page"/>
      </w:r>
    </w:p>
    <w:bookmarkEnd w:id="30"/>
    <w:p>
      <w:pPr>
        <w:pStyle w:val="28"/>
        <w:numPr>
          <w:ilvl w:val="0"/>
          <w:numId w:val="2"/>
        </w:numPr>
        <w:spacing w:line="360" w:lineRule="auto"/>
        <w:ind w:firstLineChars="0"/>
        <w:outlineLvl w:val="1"/>
        <w:rPr>
          <w:rFonts w:ascii="仿宋" w:hAnsi="仿宋" w:eastAsia="仿宋"/>
          <w:b/>
          <w:bCs/>
          <w:sz w:val="28"/>
          <w:szCs w:val="44"/>
          <w:highlight w:val="none"/>
        </w:rPr>
      </w:pPr>
      <w:bookmarkStart w:id="31" w:name="_Toc28030_WPSOffice_Level1"/>
      <w:r>
        <w:rPr>
          <w:rFonts w:ascii="仿宋" w:hAnsi="仿宋" w:eastAsia="仿宋"/>
          <w:b/>
          <w:bCs/>
          <w:sz w:val="28"/>
          <w:szCs w:val="44"/>
          <w:highlight w:val="none"/>
        </w:rPr>
        <w:t>法人证明</w:t>
      </w:r>
      <w:bookmarkEnd w:id="31"/>
    </w:p>
    <w:p>
      <w:pPr>
        <w:spacing w:line="360" w:lineRule="auto"/>
        <w:jc w:val="center"/>
        <w:rPr>
          <w:rFonts w:ascii="仿宋" w:hAnsi="仿宋" w:eastAsia="仿宋"/>
          <w:b/>
          <w:bCs/>
          <w:sz w:val="32"/>
          <w:szCs w:val="32"/>
          <w:highlight w:val="none"/>
        </w:rPr>
      </w:pPr>
      <w:bookmarkStart w:id="32" w:name="_Toc7977_WPSOffice_Level2"/>
      <w:r>
        <w:rPr>
          <w:rFonts w:ascii="仿宋" w:hAnsi="仿宋" w:eastAsia="仿宋"/>
          <w:b/>
          <w:bCs/>
          <w:sz w:val="32"/>
          <w:szCs w:val="32"/>
          <w:highlight w:val="none"/>
        </w:rPr>
        <w:t>法定代表人身份证明书</w:t>
      </w:r>
      <w:bookmarkEnd w:id="32"/>
    </w:p>
    <w:p>
      <w:pPr>
        <w:spacing w:line="360" w:lineRule="auto"/>
        <w:rPr>
          <w:rFonts w:ascii="仿宋" w:hAnsi="仿宋" w:eastAsia="仿宋"/>
          <w:sz w:val="32"/>
          <w:szCs w:val="32"/>
          <w:highlight w:val="none"/>
        </w:rPr>
      </w:pPr>
    </w:p>
    <w:p>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p>
    <w:p>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地址：</w:t>
      </w:r>
    </w:p>
    <w:p>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pPr>
        <w:spacing w:line="360" w:lineRule="auto"/>
        <w:rPr>
          <w:rFonts w:ascii="仿宋" w:hAnsi="仿宋" w:eastAsia="仿宋"/>
          <w:sz w:val="32"/>
          <w:szCs w:val="32"/>
          <w:highlight w:val="none"/>
        </w:rPr>
      </w:pPr>
      <w:r>
        <w:rPr>
          <w:rFonts w:ascii="仿宋" w:hAnsi="仿宋" w:eastAsia="仿宋"/>
          <w:sz w:val="32"/>
          <w:szCs w:val="32"/>
          <w:highlight w:val="none"/>
        </w:rPr>
        <w:t>职务：</w:t>
      </w:r>
    </w:p>
    <w:p>
      <w:pPr>
        <w:widowControl/>
        <w:jc w:val="left"/>
        <w:rPr>
          <w:rFonts w:ascii="仿宋" w:hAnsi="仿宋" w:eastAsia="仿宋"/>
          <w:sz w:val="32"/>
          <w:szCs w:val="32"/>
          <w:highlight w:val="none"/>
        </w:rPr>
      </w:pPr>
      <w:r>
        <w:rPr>
          <w:rFonts w:ascii="仿宋" w:hAnsi="仿宋" w:eastAsia="仿宋"/>
          <w:sz w:val="32"/>
          <w:szCs w:val="32"/>
          <w:highlight w:val="none"/>
        </w:rPr>
        <w:br w:type="page"/>
      </w:r>
    </w:p>
    <w:p>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3" w:name="_Toc384752807"/>
    </w:p>
    <w:p>
      <w:pPr>
        <w:pStyle w:val="28"/>
        <w:numPr>
          <w:ilvl w:val="0"/>
          <w:numId w:val="2"/>
        </w:numPr>
        <w:spacing w:line="360" w:lineRule="auto"/>
        <w:ind w:firstLineChars="0"/>
        <w:outlineLvl w:val="1"/>
        <w:rPr>
          <w:rFonts w:ascii="仿宋" w:hAnsi="仿宋" w:eastAsia="仿宋"/>
          <w:b/>
          <w:bCs/>
          <w:sz w:val="28"/>
          <w:szCs w:val="44"/>
          <w:highlight w:val="none"/>
        </w:rPr>
      </w:pPr>
      <w:bookmarkStart w:id="34" w:name="_Toc14680_WPSOffice_Level1"/>
      <w:r>
        <w:rPr>
          <w:rFonts w:ascii="仿宋" w:hAnsi="仿宋" w:eastAsia="仿宋"/>
          <w:b/>
          <w:bCs/>
          <w:sz w:val="28"/>
          <w:szCs w:val="44"/>
          <w:highlight w:val="none"/>
        </w:rPr>
        <w:t>法人授权书</w:t>
      </w:r>
      <w:bookmarkEnd w:id="34"/>
    </w:p>
    <w:p>
      <w:pPr>
        <w:widowControl/>
        <w:spacing w:line="360" w:lineRule="auto"/>
        <w:jc w:val="center"/>
        <w:rPr>
          <w:rFonts w:ascii="仿宋" w:hAnsi="仿宋" w:eastAsia="仿宋"/>
          <w:sz w:val="32"/>
          <w:szCs w:val="32"/>
          <w:highlight w:val="none"/>
        </w:rPr>
      </w:pPr>
      <w:bookmarkStart w:id="35" w:name="_Toc25465_WPSOffice_Level2"/>
      <w:r>
        <w:rPr>
          <w:rFonts w:ascii="仿宋" w:hAnsi="仿宋" w:eastAsia="仿宋"/>
          <w:b/>
          <w:sz w:val="32"/>
          <w:szCs w:val="32"/>
          <w:highlight w:val="none"/>
        </w:rPr>
        <w:t>授权委托书</w:t>
      </w:r>
      <w:bookmarkEnd w:id="33"/>
      <w:bookmarkEnd w:id="35"/>
    </w:p>
    <w:p>
      <w:pPr>
        <w:pStyle w:val="21"/>
        <w:spacing w:line="360" w:lineRule="auto"/>
        <w:ind w:firstLine="0" w:firstLineChars="0"/>
        <w:rPr>
          <w:rFonts w:ascii="仿宋" w:hAnsi="仿宋" w:eastAsia="仿宋" w:cs="Times New Roman"/>
          <w:sz w:val="32"/>
          <w:szCs w:val="32"/>
          <w:highlight w:val="none"/>
        </w:rPr>
      </w:pPr>
    </w:p>
    <w:p>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填写报价人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ascii="仿宋" w:hAnsi="仿宋" w:eastAsia="仿宋" w:cs="Times New Roman"/>
          <w:sz w:val="32"/>
          <w:szCs w:val="32"/>
          <w:highlight w:val="none"/>
          <w:lang w:eastAsia="zh-CN"/>
        </w:rPr>
        <w:t>东莞市海心沙资源综合利用中心环保热电厂生产物资采购项目（第</w:t>
      </w:r>
      <w:r>
        <w:rPr>
          <w:rFonts w:hint="eastAsia" w:ascii="仿宋" w:hAnsi="仿宋" w:eastAsia="仿宋" w:cs="Times New Roman"/>
          <w:sz w:val="32"/>
          <w:szCs w:val="32"/>
          <w:highlight w:val="none"/>
          <w:lang w:val="en-US" w:eastAsia="zh-CN"/>
        </w:rPr>
        <w:t>13</w:t>
      </w:r>
      <w:r>
        <w:rPr>
          <w:rFonts w:hint="eastAsia" w:ascii="仿宋" w:hAnsi="仿宋" w:eastAsia="仿宋" w:cs="Times New Roman"/>
          <w:sz w:val="32"/>
          <w:szCs w:val="32"/>
          <w:highlight w:val="none"/>
          <w:lang w:eastAsia="zh-CN"/>
        </w:rPr>
        <w:t>批）（</w:t>
      </w:r>
      <w:r>
        <w:rPr>
          <w:rFonts w:hint="eastAsia" w:ascii="仿宋" w:hAnsi="仿宋" w:eastAsia="仿宋" w:cs="Times New Roman"/>
          <w:sz w:val="32"/>
          <w:szCs w:val="32"/>
          <w:highlight w:val="none"/>
          <w:lang w:val="en-US" w:eastAsia="zh-CN"/>
        </w:rPr>
        <w:t>重新采购</w:t>
      </w:r>
      <w:r>
        <w:rPr>
          <w:rFonts w:hint="eastAsia" w:ascii="仿宋" w:hAnsi="仿宋" w:eastAsia="仿宋" w:cs="Times New Roman"/>
          <w:sz w:val="32"/>
          <w:szCs w:val="32"/>
          <w:highlight w:val="none"/>
          <w:lang w:eastAsia="zh-CN"/>
        </w:rPr>
        <w:t>）</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pPr>
        <w:pStyle w:val="21"/>
        <w:spacing w:line="360" w:lineRule="auto"/>
        <w:ind w:firstLine="659"/>
        <w:rPr>
          <w:rFonts w:ascii="仿宋" w:hAnsi="仿宋" w:eastAsia="仿宋" w:cs="Times New Roman"/>
          <w:sz w:val="32"/>
          <w:szCs w:val="32"/>
          <w:highlight w:val="none"/>
        </w:rPr>
      </w:pPr>
    </w:p>
    <w:p>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pPr>
        <w:pStyle w:val="21"/>
        <w:spacing w:line="360" w:lineRule="auto"/>
        <w:ind w:firstLine="659"/>
        <w:rPr>
          <w:rFonts w:ascii="仿宋" w:hAnsi="仿宋" w:eastAsia="仿宋" w:cs="Times New Roman"/>
          <w:sz w:val="32"/>
          <w:szCs w:val="32"/>
          <w:highlight w:val="none"/>
        </w:rPr>
      </w:pPr>
    </w:p>
    <w:p>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名称（加盖公章）：</w:t>
      </w:r>
    </w:p>
    <w:p>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地址：</w:t>
      </w:r>
    </w:p>
    <w:p>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pPr>
        <w:pStyle w:val="21"/>
        <w:spacing w:line="360" w:lineRule="auto"/>
        <w:ind w:firstLine="0" w:firstLineChars="0"/>
        <w:rPr>
          <w:rFonts w:ascii="仿宋" w:hAnsi="仿宋" w:eastAsia="仿宋" w:cs="Times New Roman"/>
          <w:sz w:val="32"/>
          <w:szCs w:val="32"/>
          <w:highlight w:val="none"/>
        </w:rPr>
      </w:pPr>
    </w:p>
    <w:p>
      <w:pPr>
        <w:widowControl/>
        <w:jc w:val="left"/>
        <w:rPr>
          <w:rFonts w:ascii="仿宋" w:hAnsi="仿宋" w:eastAsia="仿宋"/>
          <w:sz w:val="32"/>
          <w:szCs w:val="32"/>
          <w:highlight w:val="none"/>
        </w:rPr>
      </w:pPr>
      <w:r>
        <w:rPr>
          <w:rFonts w:ascii="仿宋" w:hAnsi="仿宋" w:eastAsia="仿宋"/>
          <w:sz w:val="32"/>
          <w:szCs w:val="32"/>
          <w:highlight w:val="none"/>
        </w:rPr>
        <w:br w:type="page"/>
      </w:r>
    </w:p>
    <w:p>
      <w:pPr>
        <w:pStyle w:val="28"/>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6" w:name="_Toc28985_WPSOffice_Level1"/>
      <w:bookmarkStart w:id="37" w:name="OLE_LINK11"/>
      <w:r>
        <w:rPr>
          <w:rFonts w:hint="eastAsia" w:ascii="仿宋" w:hAnsi="仿宋" w:eastAsia="仿宋"/>
          <w:b/>
          <w:bCs/>
          <w:sz w:val="28"/>
          <w:szCs w:val="44"/>
          <w:highlight w:val="none"/>
        </w:rPr>
        <w:t>投标人未到场声明</w:t>
      </w:r>
      <w:bookmarkEnd w:id="36"/>
    </w:p>
    <w:bookmarkEnd w:id="37"/>
    <w:p>
      <w:pPr>
        <w:pStyle w:val="28"/>
        <w:ind w:firstLine="0" w:firstLineChars="0"/>
        <w:jc w:val="center"/>
        <w:outlineLvl w:val="1"/>
        <w:rPr>
          <w:rFonts w:eastAsia="仿宋_GB2312"/>
          <w:b/>
          <w:sz w:val="32"/>
          <w:szCs w:val="32"/>
          <w:highlight w:val="none"/>
        </w:rPr>
      </w:pPr>
      <w:bookmarkStart w:id="38" w:name="_Toc7726_WPSOffice_Level2"/>
      <w:r>
        <w:rPr>
          <w:rFonts w:ascii="仿宋_GB2312" w:eastAsia="仿宋_GB2312"/>
          <w:b/>
          <w:sz w:val="32"/>
          <w:szCs w:val="32"/>
          <w:highlight w:val="none"/>
        </w:rPr>
        <w:t>投标人未到场声明</w:t>
      </w:r>
      <w:bookmarkEnd w:id="38"/>
    </w:p>
    <w:p>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_GB2312"/>
          <w:sz w:val="32"/>
          <w:szCs w:val="32"/>
          <w:highlight w:val="none"/>
          <w:lang w:eastAsia="zh-CN"/>
        </w:rPr>
        <w:t>东莞市海心沙资源综合利用中心环保热电厂生产物资采购项目（第</w:t>
      </w:r>
      <w:r>
        <w:rPr>
          <w:rFonts w:hint="eastAsia" w:eastAsia="仿宋_GB2312"/>
          <w:sz w:val="32"/>
          <w:szCs w:val="32"/>
          <w:highlight w:val="none"/>
          <w:lang w:val="en-US" w:eastAsia="zh-CN"/>
        </w:rPr>
        <w:t>13</w:t>
      </w:r>
      <w:r>
        <w:rPr>
          <w:rFonts w:hint="eastAsia" w:eastAsia="仿宋_GB2312"/>
          <w:sz w:val="32"/>
          <w:szCs w:val="32"/>
          <w:highlight w:val="none"/>
          <w:lang w:eastAsia="zh-CN"/>
        </w:rPr>
        <w:t>批）（</w:t>
      </w:r>
      <w:r>
        <w:rPr>
          <w:rFonts w:hint="eastAsia" w:eastAsia="仿宋_GB2312"/>
          <w:sz w:val="32"/>
          <w:szCs w:val="32"/>
          <w:highlight w:val="none"/>
          <w:lang w:val="en-US" w:eastAsia="zh-CN"/>
        </w:rPr>
        <w:t>重新采购</w:t>
      </w:r>
      <w:r>
        <w:rPr>
          <w:rFonts w:hint="eastAsia" w:eastAsia="仿宋_GB2312"/>
          <w:sz w:val="32"/>
          <w:szCs w:val="32"/>
          <w:highlight w:val="none"/>
          <w:lang w:eastAsia="zh-CN"/>
        </w:rPr>
        <w:t>）</w:t>
      </w:r>
      <w:r>
        <w:rPr>
          <w:rFonts w:hint="eastAsia" w:eastAsia="仿宋_GB2312"/>
          <w:sz w:val="32"/>
          <w:szCs w:val="32"/>
          <w:highlight w:val="none"/>
        </w:rPr>
        <w:t>报价工作，作出郑重说明：</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pPr>
        <w:rPr>
          <w:rFonts w:hint="eastAsia" w:eastAsia="仿宋_GB2312"/>
          <w:sz w:val="32"/>
          <w:szCs w:val="32"/>
          <w:highlight w:val="none"/>
        </w:rPr>
      </w:pPr>
      <w:r>
        <w:rPr>
          <w:rFonts w:hint="eastAsia" w:eastAsia="仿宋_GB2312"/>
          <w:sz w:val="32"/>
          <w:szCs w:val="32"/>
          <w:highlight w:val="none"/>
        </w:rPr>
        <w:br w:type="page"/>
      </w:r>
    </w:p>
    <w:p>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pPr>
        <w:pStyle w:val="28"/>
        <w:ind w:firstLine="0" w:firstLineChars="0"/>
        <w:jc w:val="center"/>
        <w:rPr>
          <w:rFonts w:hint="eastAsia" w:eastAsia="仿宋_GB2312"/>
          <w:b/>
          <w:color w:val="000000"/>
          <w:sz w:val="32"/>
          <w:szCs w:val="32"/>
          <w:lang w:val="en-US" w:eastAsia="zh-CN"/>
        </w:rPr>
      </w:pPr>
      <w:r>
        <w:rPr>
          <w:rFonts w:hint="eastAsia" w:eastAsia="仿宋_GB2312"/>
          <w:b/>
          <w:color w:val="000000"/>
          <w:sz w:val="32"/>
          <w:szCs w:val="32"/>
          <w:lang w:val="en-US" w:eastAsia="zh-CN"/>
        </w:rPr>
        <w:t>响应</w:t>
      </w:r>
      <w:r>
        <w:rPr>
          <w:rFonts w:hint="eastAsia" w:eastAsia="仿宋_GB2312"/>
          <w:b/>
          <w:color w:val="000000"/>
          <w:sz w:val="32"/>
          <w:szCs w:val="32"/>
        </w:rPr>
        <w:t>承诺</w:t>
      </w:r>
      <w:r>
        <w:rPr>
          <w:rFonts w:hint="eastAsia" w:eastAsia="仿宋_GB2312"/>
          <w:b/>
          <w:color w:val="000000"/>
          <w:sz w:val="32"/>
          <w:szCs w:val="32"/>
          <w:lang w:val="en-US" w:eastAsia="zh-CN"/>
        </w:rPr>
        <w:t>函</w:t>
      </w:r>
    </w:p>
    <w:p>
      <w:pPr>
        <w:rPr>
          <w:rFonts w:eastAsia="仿宋_GB2312"/>
          <w:color w:val="000000"/>
          <w:sz w:val="32"/>
          <w:szCs w:val="32"/>
        </w:rPr>
      </w:pPr>
      <w:r>
        <w:rPr>
          <w:rFonts w:eastAsia="仿宋_GB2312"/>
          <w:color w:val="000000"/>
          <w:sz w:val="32"/>
          <w:szCs w:val="32"/>
          <w:u w:val="single"/>
        </w:rPr>
        <w:t xml:space="preserve"> </w:t>
      </w:r>
      <w:r>
        <w:rPr>
          <w:rFonts w:hint="eastAsia" w:eastAsia="仿宋_GB2312"/>
          <w:color w:val="000000"/>
          <w:sz w:val="32"/>
          <w:szCs w:val="32"/>
          <w:u w:val="single"/>
          <w:lang w:val="en-US" w:eastAsia="zh-CN"/>
        </w:rPr>
        <w:t>东莞市新东元环保投资有限公司</w:t>
      </w:r>
      <w:r>
        <w:rPr>
          <w:rFonts w:hint="eastAsia" w:eastAsia="仿宋_GB2312"/>
          <w:color w:val="000000"/>
          <w:sz w:val="32"/>
          <w:szCs w:val="32"/>
        </w:rPr>
        <w:t>：</w:t>
      </w:r>
    </w:p>
    <w:p>
      <w:pPr>
        <w:pStyle w:val="21"/>
        <w:ind w:firstLine="640" w:firstLineChars="0"/>
        <w:rPr>
          <w:rFonts w:ascii="Times New Roman" w:hAnsi="Times New Roman"/>
          <w:color w:val="000000"/>
          <w:sz w:val="32"/>
          <w:szCs w:val="32"/>
        </w:rPr>
      </w:pPr>
      <w:r>
        <w:rPr>
          <w:rFonts w:hint="eastAsia" w:ascii="Times New Roman" w:hAnsi="Times New Roman"/>
          <w:color w:val="000000"/>
          <w:sz w:val="32"/>
          <w:szCs w:val="32"/>
        </w:rPr>
        <w:t>我司就参加</w:t>
      </w:r>
      <w:r>
        <w:rPr>
          <w:rFonts w:hint="eastAsia" w:ascii="Times New Roman" w:hAnsi="Times New Roman"/>
          <w:color w:val="000000"/>
          <w:sz w:val="32"/>
          <w:szCs w:val="32"/>
          <w:u w:val="single"/>
          <w:lang w:eastAsia="zh-CN"/>
        </w:rPr>
        <w:t>东莞市海心沙资源综合利用中心环保热电厂生产物资采购项目（第</w:t>
      </w:r>
      <w:r>
        <w:rPr>
          <w:rFonts w:hint="eastAsia" w:ascii="Times New Roman" w:hAnsi="Times New Roman"/>
          <w:color w:val="000000"/>
          <w:sz w:val="32"/>
          <w:szCs w:val="32"/>
          <w:u w:val="single"/>
          <w:lang w:val="en-US" w:eastAsia="zh-CN"/>
        </w:rPr>
        <w:t>13</w:t>
      </w:r>
      <w:r>
        <w:rPr>
          <w:rFonts w:hint="eastAsia" w:ascii="Times New Roman" w:hAnsi="Times New Roman"/>
          <w:color w:val="000000"/>
          <w:sz w:val="32"/>
          <w:szCs w:val="32"/>
          <w:u w:val="single"/>
          <w:lang w:eastAsia="zh-CN"/>
        </w:rPr>
        <w:t>批）（</w:t>
      </w:r>
      <w:r>
        <w:rPr>
          <w:rFonts w:hint="eastAsia" w:ascii="Times New Roman" w:hAnsi="Times New Roman"/>
          <w:color w:val="000000"/>
          <w:sz w:val="32"/>
          <w:szCs w:val="32"/>
          <w:u w:val="single"/>
          <w:lang w:val="en-US" w:eastAsia="zh-CN"/>
        </w:rPr>
        <w:t>重新采购</w:t>
      </w:r>
      <w:r>
        <w:rPr>
          <w:rFonts w:hint="eastAsia" w:ascii="Times New Roman" w:hAnsi="Times New Roman"/>
          <w:color w:val="000000"/>
          <w:sz w:val="32"/>
          <w:szCs w:val="32"/>
          <w:u w:val="single"/>
          <w:lang w:eastAsia="zh-CN"/>
        </w:rPr>
        <w:t>）</w:t>
      </w:r>
      <w:r>
        <w:rPr>
          <w:rFonts w:hint="eastAsia" w:ascii="Times New Roman" w:hAnsi="Times New Roman"/>
          <w:color w:val="000000"/>
          <w:sz w:val="32"/>
          <w:szCs w:val="32"/>
          <w:u w:val="single"/>
          <w:lang w:val="en-US" w:eastAsia="zh-CN"/>
        </w:rPr>
        <w:t>报价响应</w:t>
      </w:r>
      <w:r>
        <w:rPr>
          <w:rFonts w:hint="eastAsia" w:ascii="Times New Roman" w:hAnsi="Times New Roman"/>
          <w:color w:val="000000"/>
          <w:sz w:val="32"/>
          <w:szCs w:val="32"/>
        </w:rPr>
        <w:t>，作出以下承诺：</w:t>
      </w:r>
    </w:p>
    <w:p>
      <w:pPr>
        <w:pStyle w:val="21"/>
        <w:ind w:firstLine="659"/>
        <w:rPr>
          <w:rFonts w:ascii="Times New Roman" w:hAnsi="Times New Roman"/>
          <w:color w:val="000000"/>
          <w:sz w:val="32"/>
          <w:szCs w:val="32"/>
        </w:rPr>
      </w:pPr>
      <w:r>
        <w:rPr>
          <w:rFonts w:hint="eastAsia" w:ascii="Times New Roman" w:hAnsi="Times New Roman"/>
          <w:color w:val="000000"/>
          <w:sz w:val="32"/>
          <w:szCs w:val="32"/>
        </w:rPr>
        <w:t>我公司已充分了解采购项目情况，本次报价完全响应询价文件</w:t>
      </w:r>
      <w:r>
        <w:rPr>
          <w:rFonts w:hint="eastAsia" w:ascii="Times New Roman" w:hAnsi="Times New Roman"/>
          <w:color w:val="000000"/>
          <w:sz w:val="32"/>
          <w:szCs w:val="32"/>
          <w:lang w:val="en-US" w:eastAsia="zh-CN"/>
        </w:rPr>
        <w:t>及其全部附件的所有</w:t>
      </w:r>
      <w:r>
        <w:rPr>
          <w:rFonts w:hint="eastAsia" w:ascii="Times New Roman" w:hAnsi="Times New Roman"/>
          <w:color w:val="000000"/>
          <w:sz w:val="32"/>
          <w:szCs w:val="32"/>
        </w:rPr>
        <w:t>要求，我公司</w:t>
      </w:r>
      <w:r>
        <w:rPr>
          <w:rFonts w:hint="eastAsia" w:ascii="Times New Roman" w:hAnsi="Times New Roman"/>
          <w:color w:val="000000"/>
          <w:sz w:val="32"/>
          <w:szCs w:val="32"/>
          <w:lang w:val="en-US" w:eastAsia="zh-CN"/>
        </w:rPr>
        <w:t>本次项目响应</w:t>
      </w:r>
      <w:r>
        <w:rPr>
          <w:rFonts w:hint="eastAsia" w:ascii="Times New Roman" w:hAnsi="Times New Roman"/>
          <w:color w:val="000000"/>
          <w:sz w:val="32"/>
          <w:szCs w:val="32"/>
        </w:rPr>
        <w:t>等于或优于采购人需求，并承诺如不满足采购人需求，采购人有权取消</w:t>
      </w:r>
      <w:r>
        <w:rPr>
          <w:rFonts w:hint="eastAsia" w:ascii="Times New Roman" w:hAnsi="Times New Roman"/>
          <w:color w:val="000000"/>
          <w:sz w:val="32"/>
          <w:szCs w:val="32"/>
          <w:lang w:val="en-US" w:eastAsia="zh-CN"/>
        </w:rPr>
        <w:t>我公司成交资格或单方面解除合同</w:t>
      </w:r>
      <w:r>
        <w:rPr>
          <w:rFonts w:hint="eastAsia" w:ascii="Times New Roman" w:hAnsi="Times New Roman"/>
          <w:color w:val="000000"/>
          <w:sz w:val="32"/>
          <w:szCs w:val="32"/>
        </w:rPr>
        <w:t>。</w:t>
      </w:r>
    </w:p>
    <w:p>
      <w:pPr>
        <w:pStyle w:val="21"/>
        <w:ind w:firstLine="659"/>
        <w:rPr>
          <w:rFonts w:ascii="Times New Roman" w:hAnsi="Times New Roman"/>
          <w:color w:val="000000"/>
          <w:sz w:val="32"/>
          <w:szCs w:val="32"/>
        </w:rPr>
      </w:pPr>
    </w:p>
    <w:p>
      <w:pPr>
        <w:jc w:val="left"/>
        <w:rPr>
          <w:rFonts w:eastAsia="仿宋"/>
          <w:color w:val="000000"/>
          <w:sz w:val="32"/>
          <w:szCs w:val="32"/>
        </w:rPr>
      </w:pPr>
    </w:p>
    <w:p>
      <w:pPr>
        <w:jc w:val="left"/>
        <w:rPr>
          <w:rFonts w:eastAsia="仿宋"/>
          <w:color w:val="000000"/>
          <w:sz w:val="32"/>
          <w:szCs w:val="32"/>
        </w:rPr>
      </w:pPr>
    </w:p>
    <w:p>
      <w:pPr>
        <w:jc w:val="left"/>
        <w:rPr>
          <w:rFonts w:eastAsia="仿宋"/>
          <w:color w:val="000000"/>
          <w:sz w:val="32"/>
          <w:szCs w:val="32"/>
        </w:rPr>
      </w:pPr>
    </w:p>
    <w:p>
      <w:pPr>
        <w:pStyle w:val="21"/>
        <w:ind w:right="160" w:firstLine="0" w:firstLineChars="0"/>
        <w:jc w:val="left"/>
        <w:rPr>
          <w:rFonts w:ascii="Times New Roman" w:hAnsi="Times New Roman"/>
          <w:color w:val="000000"/>
          <w:sz w:val="32"/>
          <w:szCs w:val="32"/>
        </w:rPr>
      </w:pPr>
      <w:r>
        <w:rPr>
          <w:rFonts w:hint="eastAsia" w:ascii="Times New Roman" w:hAnsi="Times New Roman"/>
          <w:color w:val="000000"/>
          <w:sz w:val="32"/>
          <w:szCs w:val="32"/>
        </w:rPr>
        <w:t>响应人名称（加盖公章）：</w:t>
      </w:r>
    </w:p>
    <w:p>
      <w:pPr>
        <w:pStyle w:val="21"/>
        <w:ind w:firstLine="0" w:firstLineChars="0"/>
        <w:jc w:val="left"/>
        <w:rPr>
          <w:rFonts w:ascii="Times New Roman" w:hAnsi="Times New Roman"/>
          <w:color w:val="000000"/>
          <w:sz w:val="32"/>
          <w:szCs w:val="32"/>
        </w:rPr>
      </w:pPr>
      <w:r>
        <w:rPr>
          <w:rFonts w:hint="eastAsia" w:ascii="Times New Roman" w:hAnsi="Times New Roman"/>
          <w:color w:val="000000"/>
          <w:sz w:val="32"/>
          <w:szCs w:val="32"/>
        </w:rPr>
        <w:t>响应人地址：</w:t>
      </w:r>
    </w:p>
    <w:p>
      <w:pPr>
        <w:pStyle w:val="21"/>
        <w:ind w:firstLine="0" w:firstLineChars="0"/>
        <w:jc w:val="left"/>
        <w:rPr>
          <w:rFonts w:ascii="Times New Roman" w:hAnsi="Times New Roman"/>
          <w:color w:val="000000"/>
          <w:sz w:val="32"/>
          <w:szCs w:val="32"/>
        </w:rPr>
      </w:pPr>
      <w:r>
        <w:rPr>
          <w:rFonts w:hint="eastAsia" w:ascii="Times New Roman" w:hAnsi="Times New Roman"/>
          <w:color w:val="000000"/>
          <w:sz w:val="32"/>
          <w:szCs w:val="32"/>
        </w:rPr>
        <w:t>法定代表人（签字或盖章）：</w:t>
      </w:r>
    </w:p>
    <w:p>
      <w:pPr>
        <w:pStyle w:val="21"/>
        <w:ind w:firstLine="0" w:firstLineChars="0"/>
        <w:jc w:val="left"/>
        <w:rPr>
          <w:rFonts w:ascii="Times New Roman" w:hAnsi="Times New Roman"/>
          <w:color w:val="000000"/>
          <w:sz w:val="32"/>
          <w:szCs w:val="32"/>
        </w:rPr>
      </w:pPr>
      <w:r>
        <w:rPr>
          <w:rFonts w:hint="eastAsia" w:ascii="Times New Roman" w:hAnsi="Times New Roman"/>
          <w:color w:val="000000"/>
          <w:sz w:val="32"/>
          <w:szCs w:val="32"/>
        </w:rPr>
        <w:t>职务：</w:t>
      </w:r>
    </w:p>
    <w:p>
      <w:pPr>
        <w:pStyle w:val="21"/>
        <w:ind w:firstLine="0" w:firstLineChars="0"/>
        <w:jc w:val="left"/>
        <w:rPr>
          <w:rFonts w:ascii="Times New Roman" w:hAnsi="Times New Roman"/>
          <w:color w:val="000000"/>
          <w:sz w:val="32"/>
          <w:szCs w:val="32"/>
        </w:rPr>
      </w:pPr>
      <w:r>
        <w:rPr>
          <w:rFonts w:hint="eastAsia" w:ascii="Times New Roman" w:hAnsi="Times New Roman"/>
          <w:color w:val="000000"/>
          <w:sz w:val="32"/>
          <w:szCs w:val="32"/>
        </w:rPr>
        <w:t>日期：</w:t>
      </w:r>
    </w:p>
    <w:p>
      <w:pPr>
        <w:pStyle w:val="21"/>
        <w:ind w:firstLine="0" w:firstLineChars="0"/>
        <w:jc w:val="left"/>
        <w:rPr>
          <w:rFonts w:ascii="Times New Roman" w:hAnsi="Times New Roman"/>
          <w:color w:val="000000"/>
          <w:sz w:val="32"/>
          <w:szCs w:val="32"/>
        </w:rPr>
      </w:pPr>
    </w:p>
    <w:p>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5"/>
    <w:p>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pPr>
        <w:spacing w:line="360" w:lineRule="auto"/>
        <w:ind w:firstLine="480" w:firstLineChars="200"/>
        <w:rPr>
          <w:sz w:val="24"/>
          <w:szCs w:val="24"/>
          <w:highlight w:val="none"/>
        </w:rPr>
      </w:pPr>
      <w:r>
        <w:rPr>
          <w:rFonts w:hint="eastAsia"/>
          <w:sz w:val="24"/>
          <w:szCs w:val="24"/>
          <w:highlight w:val="none"/>
        </w:rPr>
        <w:t>乙方合同编号：</w:t>
      </w:r>
    </w:p>
    <w:p>
      <w:pPr>
        <w:spacing w:line="360" w:lineRule="auto"/>
        <w:rPr>
          <w:rFonts w:eastAsia="仿宋_GB2312"/>
          <w:b/>
          <w:sz w:val="32"/>
          <w:szCs w:val="32"/>
          <w:highlight w:val="none"/>
        </w:rPr>
      </w:pPr>
    </w:p>
    <w:p>
      <w:pPr>
        <w:spacing w:line="360" w:lineRule="auto"/>
        <w:jc w:val="center"/>
        <w:rPr>
          <w:b/>
          <w:sz w:val="32"/>
          <w:szCs w:val="32"/>
          <w:highlight w:val="none"/>
        </w:rPr>
      </w:pPr>
      <w:r>
        <w:rPr>
          <w:rFonts w:hint="eastAsia" w:eastAsia="仿宋_GB2312"/>
          <w:b/>
          <w:sz w:val="32"/>
          <w:szCs w:val="32"/>
          <w:highlight w:val="none"/>
          <w:lang w:eastAsia="zh-CN"/>
        </w:rPr>
        <w:t>东莞市海心沙资源综合利用中心环保热电厂生产物资采购项目（第</w:t>
      </w:r>
      <w:r>
        <w:rPr>
          <w:rFonts w:hint="eastAsia" w:eastAsia="仿宋_GB2312"/>
          <w:b/>
          <w:sz w:val="32"/>
          <w:szCs w:val="32"/>
          <w:highlight w:val="none"/>
          <w:lang w:val="en-US" w:eastAsia="zh-CN"/>
        </w:rPr>
        <w:t>13</w:t>
      </w:r>
      <w:r>
        <w:rPr>
          <w:rFonts w:hint="eastAsia" w:eastAsia="仿宋_GB2312"/>
          <w:b/>
          <w:sz w:val="32"/>
          <w:szCs w:val="32"/>
          <w:highlight w:val="none"/>
          <w:lang w:eastAsia="zh-CN"/>
        </w:rPr>
        <w:t>批）</w:t>
      </w:r>
      <w:r>
        <w:rPr>
          <w:rFonts w:hint="eastAsia" w:eastAsia="仿宋_GB2312"/>
          <w:b/>
          <w:sz w:val="32"/>
          <w:szCs w:val="32"/>
          <w:highlight w:val="none"/>
        </w:rPr>
        <w:t>合同</w:t>
      </w:r>
    </w:p>
    <w:p>
      <w:pPr>
        <w:spacing w:line="360" w:lineRule="auto"/>
        <w:rPr>
          <w:sz w:val="24"/>
          <w:szCs w:val="24"/>
          <w:highlight w:val="none"/>
        </w:rPr>
      </w:pPr>
      <w:r>
        <w:rPr>
          <w:sz w:val="24"/>
          <w:szCs w:val="24"/>
          <w:highlight w:val="none"/>
        </w:rPr>
        <w:t xml:space="preserve">                                                             </w:t>
      </w:r>
    </w:p>
    <w:p>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pPr>
        <w:spacing w:line="360" w:lineRule="auto"/>
        <w:ind w:firstLine="480" w:firstLineChars="200"/>
        <w:rPr>
          <w:sz w:val="24"/>
          <w:szCs w:val="24"/>
          <w:highlight w:val="none"/>
        </w:rPr>
      </w:pPr>
      <w:r>
        <w:rPr>
          <w:sz w:val="24"/>
          <w:szCs w:val="24"/>
          <w:highlight w:val="none"/>
        </w:rPr>
        <w:t xml:space="preserve"> </w:t>
      </w:r>
    </w:p>
    <w:p>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w:t>
      </w:r>
      <w:r>
        <w:rPr>
          <w:rFonts w:hint="eastAsia"/>
          <w:sz w:val="24"/>
          <w:szCs w:val="24"/>
          <w:highlight w:val="none"/>
          <w:lang w:eastAsia="zh-CN"/>
        </w:rPr>
        <w:t>东莞市海心沙资源综合利用中心环保热电厂生产物资采购项目（第</w:t>
      </w:r>
      <w:r>
        <w:rPr>
          <w:rFonts w:hint="eastAsia"/>
          <w:sz w:val="24"/>
          <w:szCs w:val="24"/>
          <w:highlight w:val="none"/>
          <w:lang w:val="en-US" w:eastAsia="zh-CN"/>
        </w:rPr>
        <w:t>13</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pPr>
        <w:spacing w:line="360" w:lineRule="auto"/>
        <w:ind w:firstLine="482" w:firstLineChars="200"/>
        <w:rPr>
          <w:b/>
          <w:sz w:val="24"/>
          <w:szCs w:val="24"/>
          <w:highlight w:val="none"/>
        </w:rPr>
      </w:pPr>
      <w:bookmarkStart w:id="39" w:name="_Toc16526_WPSOffice_Level1"/>
      <w:r>
        <w:rPr>
          <w:rFonts w:hint="eastAsia"/>
          <w:b/>
          <w:sz w:val="24"/>
          <w:szCs w:val="24"/>
          <w:highlight w:val="none"/>
        </w:rPr>
        <w:t>一、合同价款及要求</w:t>
      </w:r>
      <w:bookmarkEnd w:id="39"/>
    </w:p>
    <w:p>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pPr>
        <w:spacing w:line="360" w:lineRule="auto"/>
        <w:ind w:firstLine="482" w:firstLineChars="200"/>
        <w:rPr>
          <w:b/>
          <w:sz w:val="24"/>
          <w:szCs w:val="24"/>
          <w:highlight w:val="none"/>
        </w:rPr>
      </w:pPr>
      <w:bookmarkStart w:id="40" w:name="_Toc30470_WPSOffice_Level1"/>
      <w:r>
        <w:rPr>
          <w:rFonts w:hint="eastAsia"/>
          <w:b/>
          <w:sz w:val="24"/>
          <w:szCs w:val="24"/>
          <w:highlight w:val="none"/>
        </w:rPr>
        <w:t>二、交货及服务要求、时间、地点</w:t>
      </w:r>
      <w:bookmarkEnd w:id="40"/>
    </w:p>
    <w:p>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w:t>
      </w:r>
    </w:p>
    <w:p>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pPr>
        <w:spacing w:line="360" w:lineRule="auto"/>
        <w:ind w:firstLine="482" w:firstLineChars="200"/>
        <w:rPr>
          <w:b/>
          <w:sz w:val="24"/>
          <w:szCs w:val="24"/>
          <w:highlight w:val="none"/>
        </w:rPr>
      </w:pPr>
      <w:bookmarkStart w:id="41" w:name="_Toc28374_WPSOffice_Level1"/>
      <w:r>
        <w:rPr>
          <w:rFonts w:hint="eastAsia"/>
          <w:b/>
          <w:sz w:val="24"/>
          <w:szCs w:val="24"/>
          <w:highlight w:val="none"/>
        </w:rPr>
        <w:t>三、付款方式</w:t>
      </w:r>
      <w:bookmarkEnd w:id="41"/>
    </w:p>
    <w:p>
      <w:pPr>
        <w:spacing w:line="360" w:lineRule="auto"/>
        <w:ind w:firstLine="480" w:firstLineChars="200"/>
        <w:outlineLvl w:val="1"/>
        <w:rPr>
          <w:rFonts w:hint="eastAsia"/>
          <w:bCs/>
          <w:sz w:val="24"/>
          <w:szCs w:val="24"/>
          <w:highlight w:val="none"/>
        </w:rPr>
      </w:pPr>
      <w:r>
        <w:rPr>
          <w:rFonts w:hint="eastAsia"/>
          <w:bCs/>
          <w:sz w:val="24"/>
          <w:szCs w:val="24"/>
          <w:highlight w:val="none"/>
        </w:rPr>
        <w:t>（一）每月3日前，</w:t>
      </w:r>
      <w:r>
        <w:rPr>
          <w:rFonts w:hint="eastAsia"/>
          <w:bCs/>
          <w:sz w:val="24"/>
          <w:szCs w:val="24"/>
          <w:highlight w:val="none"/>
          <w:lang w:val="en-US" w:eastAsia="zh-CN"/>
        </w:rPr>
        <w:t>乙方</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提交上月供货对账单，双方对验收合格入库的货物数量及金额核对无误后，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在当月</w:t>
      </w:r>
      <w:r>
        <w:rPr>
          <w:rFonts w:hint="eastAsia"/>
          <w:bCs/>
          <w:sz w:val="24"/>
          <w:szCs w:val="24"/>
          <w:highlight w:val="none"/>
          <w:lang w:val="en-US" w:eastAsia="zh-CN"/>
        </w:rPr>
        <w:t>30</w:t>
      </w:r>
      <w:r>
        <w:rPr>
          <w:rFonts w:hint="eastAsia"/>
          <w:bCs/>
          <w:sz w:val="24"/>
          <w:szCs w:val="24"/>
          <w:highlight w:val="none"/>
        </w:rPr>
        <w:t>日前向</w:t>
      </w:r>
      <w:r>
        <w:rPr>
          <w:rFonts w:hint="eastAsia"/>
          <w:bCs/>
          <w:sz w:val="24"/>
          <w:szCs w:val="24"/>
          <w:highlight w:val="none"/>
          <w:lang w:val="en-US" w:eastAsia="zh-CN"/>
        </w:rPr>
        <w:t>乙方</w:t>
      </w:r>
      <w:r>
        <w:rPr>
          <w:rFonts w:hint="eastAsia"/>
          <w:bCs/>
          <w:sz w:val="24"/>
          <w:szCs w:val="24"/>
          <w:highlight w:val="none"/>
        </w:rPr>
        <w:t>支付上月入库货物金额的100%。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有权延迟一个月付款。</w:t>
      </w:r>
    </w:p>
    <w:p>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pPr>
        <w:spacing w:line="360" w:lineRule="auto"/>
        <w:ind w:firstLine="480" w:firstLineChars="200"/>
        <w:rPr>
          <w:bCs/>
          <w:sz w:val="24"/>
          <w:szCs w:val="24"/>
          <w:highlight w:val="none"/>
        </w:rPr>
      </w:pPr>
      <w:r>
        <w:rPr>
          <w:rFonts w:hint="eastAsia"/>
          <w:bCs/>
          <w:sz w:val="24"/>
          <w:szCs w:val="24"/>
          <w:highlight w:val="none"/>
        </w:rPr>
        <w:t>（三）乙方的收款账户信息如下：</w:t>
      </w:r>
    </w:p>
    <w:p>
      <w:pPr>
        <w:spacing w:line="360" w:lineRule="auto"/>
        <w:ind w:firstLine="480" w:firstLineChars="200"/>
        <w:rPr>
          <w:sz w:val="24"/>
          <w:szCs w:val="24"/>
          <w:highlight w:val="none"/>
        </w:rPr>
      </w:pPr>
      <w:r>
        <w:rPr>
          <w:rFonts w:hint="eastAsia"/>
          <w:sz w:val="24"/>
          <w:szCs w:val="24"/>
          <w:highlight w:val="none"/>
        </w:rPr>
        <w:t>开户银行：</w:t>
      </w:r>
    </w:p>
    <w:p>
      <w:pPr>
        <w:spacing w:line="360" w:lineRule="auto"/>
        <w:ind w:firstLine="480" w:firstLineChars="200"/>
        <w:rPr>
          <w:sz w:val="24"/>
          <w:szCs w:val="24"/>
          <w:highlight w:val="none"/>
        </w:rPr>
      </w:pPr>
      <w:r>
        <w:rPr>
          <w:rFonts w:hint="eastAsia"/>
          <w:sz w:val="24"/>
          <w:szCs w:val="24"/>
          <w:highlight w:val="none"/>
        </w:rPr>
        <w:t>开户行账号：</w:t>
      </w:r>
      <w:r>
        <w:rPr>
          <w:sz w:val="24"/>
          <w:szCs w:val="24"/>
          <w:highlight w:val="none"/>
        </w:rPr>
        <w:t xml:space="preserve"> </w:t>
      </w:r>
    </w:p>
    <w:p>
      <w:pPr>
        <w:spacing w:line="360" w:lineRule="auto"/>
        <w:ind w:firstLine="480" w:firstLineChars="200"/>
        <w:rPr>
          <w:sz w:val="24"/>
          <w:szCs w:val="24"/>
          <w:highlight w:val="none"/>
        </w:rPr>
      </w:pPr>
      <w:r>
        <w:rPr>
          <w:rFonts w:hint="eastAsia"/>
          <w:sz w:val="24"/>
          <w:szCs w:val="24"/>
          <w:highlight w:val="none"/>
        </w:rPr>
        <w:t>收款单位名：</w:t>
      </w:r>
    </w:p>
    <w:p>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pPr>
        <w:spacing w:line="360" w:lineRule="auto"/>
        <w:ind w:firstLine="482" w:firstLineChars="200"/>
        <w:rPr>
          <w:bCs/>
          <w:sz w:val="24"/>
          <w:szCs w:val="24"/>
          <w:highlight w:val="none"/>
        </w:rPr>
      </w:pPr>
      <w:bookmarkStart w:id="42" w:name="_Toc25644_WPSOffice_Level1"/>
      <w:r>
        <w:rPr>
          <w:rFonts w:hint="eastAsia"/>
          <w:b/>
          <w:sz w:val="24"/>
          <w:szCs w:val="24"/>
          <w:highlight w:val="none"/>
        </w:rPr>
        <w:t>四、货物的验收和服务</w:t>
      </w:r>
      <w:bookmarkEnd w:id="42"/>
    </w:p>
    <w:p>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pPr>
        <w:spacing w:line="360" w:lineRule="auto"/>
        <w:ind w:firstLine="482" w:firstLineChars="200"/>
        <w:rPr>
          <w:b/>
          <w:sz w:val="24"/>
          <w:szCs w:val="24"/>
          <w:highlight w:val="none"/>
        </w:rPr>
      </w:pPr>
      <w:bookmarkStart w:id="43" w:name="_Toc8841_WPSOffice_Level1"/>
      <w:r>
        <w:rPr>
          <w:rFonts w:hint="eastAsia"/>
          <w:b/>
          <w:sz w:val="24"/>
          <w:szCs w:val="24"/>
          <w:highlight w:val="none"/>
        </w:rPr>
        <w:t>五、双方义务</w:t>
      </w:r>
      <w:bookmarkEnd w:id="43"/>
    </w:p>
    <w:p>
      <w:pPr>
        <w:spacing w:line="360" w:lineRule="auto"/>
        <w:ind w:firstLine="480" w:firstLineChars="200"/>
        <w:rPr>
          <w:sz w:val="24"/>
          <w:szCs w:val="24"/>
          <w:highlight w:val="none"/>
        </w:rPr>
      </w:pPr>
      <w:bookmarkStart w:id="44"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4"/>
    </w:p>
    <w:p>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pPr>
        <w:spacing w:line="360" w:lineRule="auto"/>
        <w:ind w:right="210" w:rightChars="100" w:firstLine="480" w:firstLineChars="200"/>
        <w:rPr>
          <w:sz w:val="24"/>
          <w:szCs w:val="24"/>
          <w:highlight w:val="none"/>
        </w:rPr>
      </w:pPr>
      <w:bookmarkStart w:id="45"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5"/>
    </w:p>
    <w:p>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pPr>
        <w:spacing w:line="360" w:lineRule="auto"/>
        <w:ind w:right="210" w:rightChars="100" w:firstLine="482" w:firstLineChars="200"/>
        <w:rPr>
          <w:b/>
          <w:sz w:val="24"/>
          <w:szCs w:val="24"/>
          <w:highlight w:val="none"/>
        </w:rPr>
      </w:pPr>
      <w:bookmarkStart w:id="46" w:name="_Toc11843_WPSOffice_Level1"/>
      <w:r>
        <w:rPr>
          <w:rFonts w:hint="eastAsia"/>
          <w:b/>
          <w:sz w:val="24"/>
          <w:szCs w:val="24"/>
          <w:highlight w:val="none"/>
        </w:rPr>
        <w:t>六、违约责任</w:t>
      </w:r>
      <w:bookmarkEnd w:id="46"/>
    </w:p>
    <w:p>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及配套需求，如乙方成交清单中生产物资在实际供货中与甲方原有设备有任何不适配或无法满足甲方使用需求的，甲方有权要求乙方在限期内将生产物资更换为甲方原品牌型号生产物资。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pPr>
        <w:spacing w:line="360" w:lineRule="auto"/>
        <w:ind w:right="210" w:rightChars="100" w:firstLine="482" w:firstLineChars="200"/>
        <w:rPr>
          <w:b/>
          <w:bCs/>
          <w:sz w:val="24"/>
          <w:szCs w:val="24"/>
          <w:highlight w:val="none"/>
        </w:rPr>
      </w:pPr>
      <w:bookmarkStart w:id="47" w:name="_Toc4307_WPSOffice_Level1"/>
      <w:r>
        <w:rPr>
          <w:rFonts w:hint="eastAsia"/>
          <w:b/>
          <w:bCs/>
          <w:sz w:val="24"/>
          <w:szCs w:val="24"/>
          <w:highlight w:val="none"/>
        </w:rPr>
        <w:t>七、不可抗力</w:t>
      </w:r>
      <w:bookmarkEnd w:id="47"/>
    </w:p>
    <w:p>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pPr>
        <w:spacing w:line="360" w:lineRule="auto"/>
        <w:ind w:firstLine="482" w:firstLineChars="200"/>
        <w:rPr>
          <w:b/>
          <w:sz w:val="24"/>
          <w:szCs w:val="24"/>
          <w:highlight w:val="none"/>
        </w:rPr>
      </w:pPr>
      <w:bookmarkStart w:id="48" w:name="_Toc2393_WPSOffice_Level1"/>
      <w:r>
        <w:rPr>
          <w:rFonts w:hint="eastAsia"/>
          <w:b/>
          <w:sz w:val="24"/>
          <w:szCs w:val="24"/>
          <w:highlight w:val="none"/>
        </w:rPr>
        <w:t>八、争议的解决</w:t>
      </w:r>
      <w:bookmarkEnd w:id="48"/>
    </w:p>
    <w:p>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pPr>
        <w:spacing w:line="360" w:lineRule="auto"/>
        <w:ind w:firstLine="482" w:firstLineChars="200"/>
        <w:rPr>
          <w:b/>
          <w:sz w:val="24"/>
          <w:szCs w:val="24"/>
          <w:highlight w:val="none"/>
        </w:rPr>
      </w:pPr>
      <w:bookmarkStart w:id="49" w:name="_Toc27346_WPSOffice_Level1"/>
      <w:r>
        <w:rPr>
          <w:rFonts w:hint="eastAsia"/>
          <w:b/>
          <w:sz w:val="24"/>
          <w:szCs w:val="24"/>
          <w:highlight w:val="none"/>
        </w:rPr>
        <w:t>九、其它约定</w:t>
      </w:r>
      <w:bookmarkEnd w:id="49"/>
    </w:p>
    <w:p>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pPr>
        <w:spacing w:line="360" w:lineRule="auto"/>
        <w:ind w:firstLine="480" w:firstLineChars="200"/>
        <w:rPr>
          <w:sz w:val="24"/>
          <w:szCs w:val="24"/>
          <w:highlight w:val="none"/>
        </w:rPr>
      </w:pPr>
      <w:r>
        <w:rPr>
          <w:rFonts w:hint="eastAsia"/>
          <w:sz w:val="24"/>
          <w:szCs w:val="24"/>
          <w:highlight w:val="none"/>
        </w:rPr>
        <w:t>（四）本合同附件：</w:t>
      </w:r>
    </w:p>
    <w:p>
      <w:pPr>
        <w:spacing w:line="360" w:lineRule="auto"/>
        <w:ind w:firstLine="480" w:firstLineChars="200"/>
        <w:rPr>
          <w:sz w:val="24"/>
          <w:szCs w:val="24"/>
          <w:highlight w:val="none"/>
        </w:rPr>
      </w:pPr>
      <w:bookmarkStart w:id="50"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50"/>
    </w:p>
    <w:p>
      <w:pPr>
        <w:spacing w:line="360" w:lineRule="auto"/>
        <w:ind w:firstLine="480" w:firstLineChars="200"/>
        <w:rPr>
          <w:sz w:val="24"/>
          <w:szCs w:val="24"/>
          <w:highlight w:val="none"/>
        </w:rPr>
      </w:pPr>
      <w:bookmarkStart w:id="51"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1"/>
    </w:p>
    <w:p>
      <w:pPr>
        <w:spacing w:line="360" w:lineRule="auto"/>
        <w:ind w:firstLine="480" w:firstLineChars="200"/>
        <w:rPr>
          <w:sz w:val="24"/>
          <w:szCs w:val="24"/>
          <w:highlight w:val="none"/>
        </w:rPr>
      </w:pPr>
    </w:p>
    <w:p>
      <w:pPr>
        <w:rPr>
          <w:sz w:val="24"/>
          <w:szCs w:val="24"/>
          <w:highlight w:val="none"/>
        </w:rPr>
      </w:pPr>
      <w:r>
        <w:rPr>
          <w:sz w:val="24"/>
          <w:szCs w:val="24"/>
          <w:highlight w:val="none"/>
        </w:rPr>
        <w:br w:type="page"/>
      </w:r>
    </w:p>
    <w:p>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pPr>
        <w:spacing w:line="360" w:lineRule="auto"/>
        <w:ind w:firstLine="240" w:firstLineChars="100"/>
        <w:rPr>
          <w:sz w:val="24"/>
          <w:szCs w:val="24"/>
          <w:highlight w:val="none"/>
        </w:rPr>
      </w:pPr>
    </w:p>
    <w:p>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pPr>
        <w:spacing w:line="360" w:lineRule="auto"/>
        <w:ind w:firstLine="240" w:firstLineChars="100"/>
        <w:rPr>
          <w:sz w:val="24"/>
          <w:szCs w:val="24"/>
          <w:highlight w:val="none"/>
        </w:rPr>
      </w:pPr>
    </w:p>
    <w:p>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pPr>
        <w:spacing w:line="360" w:lineRule="auto"/>
        <w:ind w:left="4290" w:leftChars="100" w:hanging="4080" w:hangingChars="1700"/>
        <w:rPr>
          <w:sz w:val="24"/>
          <w:szCs w:val="24"/>
          <w:highlight w:val="none"/>
        </w:rPr>
      </w:pPr>
      <w:r>
        <w:rPr>
          <w:sz w:val="24"/>
          <w:szCs w:val="24"/>
          <w:highlight w:val="none"/>
        </w:rPr>
        <w:t xml:space="preserve">                                 </w:t>
      </w:r>
    </w:p>
    <w:p>
      <w:pPr>
        <w:pStyle w:val="2"/>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3</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pPr>
        <w:spacing w:line="360" w:lineRule="auto"/>
        <w:rPr>
          <w:rFonts w:hint="eastAsia"/>
          <w:b/>
          <w:bCs/>
          <w:sz w:val="24"/>
          <w:szCs w:val="24"/>
          <w:highlight w:val="none"/>
        </w:rPr>
      </w:pPr>
      <w:r>
        <w:rPr>
          <w:b/>
          <w:bCs/>
          <w:sz w:val="24"/>
          <w:szCs w:val="24"/>
          <w:highlight w:val="none"/>
        </w:rPr>
        <w:br w:type="page"/>
      </w:r>
      <w:bookmarkStart w:id="52"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2"/>
      <w:r>
        <w:rPr>
          <w:rFonts w:hint="eastAsia"/>
          <w:b/>
          <w:bCs/>
          <w:sz w:val="24"/>
          <w:szCs w:val="24"/>
          <w:highlight w:val="none"/>
        </w:rPr>
        <w:t>　</w:t>
      </w:r>
    </w:p>
    <w:p>
      <w:pPr>
        <w:spacing w:line="240" w:lineRule="auto"/>
        <w:rPr>
          <w:rFonts w:hint="eastAsia"/>
          <w:b/>
          <w:bCs/>
          <w:sz w:val="24"/>
          <w:szCs w:val="24"/>
          <w:highlight w:val="none"/>
        </w:rPr>
      </w:pPr>
      <w:r>
        <w:rPr>
          <w:rFonts w:hint="eastAsia"/>
          <w:b/>
          <w:bCs/>
          <w:sz w:val="24"/>
          <w:szCs w:val="24"/>
          <w:highlight w:val="none"/>
        </w:rPr>
        <w:br w:type="page"/>
      </w:r>
    </w:p>
    <w:p>
      <w:pPr>
        <w:spacing w:line="360" w:lineRule="auto"/>
        <w:rPr>
          <w:b/>
          <w:bCs/>
          <w:sz w:val="24"/>
          <w:szCs w:val="24"/>
          <w:highlight w:val="none"/>
        </w:rPr>
      </w:pPr>
      <w:bookmarkStart w:id="53"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3"/>
      <w:r>
        <w:rPr>
          <w:rFonts w:hint="eastAsia"/>
          <w:b/>
          <w:bCs/>
          <w:sz w:val="24"/>
          <w:szCs w:val="24"/>
          <w:highlight w:val="none"/>
        </w:rPr>
        <w:t>　</w:t>
      </w:r>
    </w:p>
    <w:p>
      <w:pPr>
        <w:spacing w:line="360" w:lineRule="auto"/>
        <w:jc w:val="center"/>
        <w:rPr>
          <w:rFonts w:eastAsia="方正小标宋简体"/>
          <w:b/>
          <w:color w:val="000000"/>
          <w:sz w:val="44"/>
          <w:szCs w:val="44"/>
          <w:highlight w:val="none"/>
        </w:rPr>
      </w:pPr>
      <w:bookmarkStart w:id="54" w:name="_Toc23645_WPSOffice_Level1"/>
      <w:r>
        <w:rPr>
          <w:rFonts w:hint="eastAsia" w:eastAsia="方正小标宋简体"/>
          <w:b/>
          <w:color w:val="000000"/>
          <w:sz w:val="44"/>
          <w:szCs w:val="44"/>
          <w:highlight w:val="none"/>
        </w:rPr>
        <w:t>阳光合作协议</w:t>
      </w:r>
      <w:bookmarkEnd w:id="54"/>
    </w:p>
    <w:p>
      <w:pPr>
        <w:spacing w:line="360" w:lineRule="auto"/>
        <w:rPr>
          <w:b/>
          <w:color w:val="000000"/>
          <w:sz w:val="28"/>
          <w:szCs w:val="28"/>
          <w:highlight w:val="none"/>
        </w:rPr>
      </w:pPr>
    </w:p>
    <w:p>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3</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w:t>
      </w:r>
      <w:r>
        <w:rPr>
          <w:rFonts w:hint="eastAsia"/>
          <w:highlight w:val="none"/>
          <w:lang w:eastAsia="zh-CN"/>
        </w:rPr>
        <w:t>东莞市海心沙资源综合利用中心环保热电厂生产物资采购项目（第</w:t>
      </w:r>
      <w:r>
        <w:rPr>
          <w:rFonts w:hint="eastAsia"/>
          <w:highlight w:val="none"/>
          <w:lang w:val="en-US" w:eastAsia="zh-CN"/>
        </w:rPr>
        <w:t>13</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部收，邮编523000。</w:t>
      </w:r>
    </w:p>
    <w:p>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   年   月   日</w:t>
      </w:r>
      <w:bookmarkStart w:id="55" w:name="现场签证通知单"/>
      <w:bookmarkEnd w:id="55"/>
      <w:bookmarkStart w:id="56" w:name="设计变更通知单"/>
      <w:bookmarkEnd w:id="56"/>
      <w:r>
        <w:rPr>
          <w:highlight w:val="none"/>
        </w:rPr>
        <w:tab/>
      </w:r>
      <w:r>
        <w:rPr>
          <w:highlight w:val="none"/>
        </w:rPr>
        <w:t xml:space="preserve">    </w:t>
      </w:r>
      <w:r>
        <w:rPr>
          <w:rFonts w:hint="eastAsia"/>
          <w:highlight w:val="none"/>
        </w:rPr>
        <w:t xml:space="preserve">   </w:t>
      </w:r>
      <w:r>
        <w:rPr>
          <w:rFonts w:hint="eastAsia" w:ascii="宋体" w:hAnsi="宋体"/>
          <w:highlight w:val="none"/>
        </w:rPr>
        <w:t>签约日期：   年   月   日</w:t>
      </w:r>
    </w:p>
    <w:p>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pPr>
        <w:spacing w:before="68" w:line="201" w:lineRule="auto"/>
        <w:ind w:left="199"/>
        <w:rPr>
          <w:rFonts w:ascii="黑体" w:hAnsi="黑体" w:eastAsia="黑体" w:cs="黑体"/>
          <w:color w:val="auto"/>
          <w:highlight w:val="none"/>
        </w:rPr>
      </w:pPr>
    </w:p>
    <w:p>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pPr>
        <w:pStyle w:val="2"/>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pPr>
        <w:pStyle w:val="2"/>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lang w:eastAsia="zh-CN"/>
        </w:rPr>
        <w:t>东莞市海心沙资源综合利用中心环保热电厂生产物资采购项目（第</w:t>
      </w:r>
      <w:r>
        <w:rPr>
          <w:rFonts w:hint="eastAsia" w:ascii="黑体" w:hAnsi="黑体" w:eastAsia="黑体" w:cs="黑体"/>
          <w:sz w:val="40"/>
          <w:szCs w:val="40"/>
          <w:highlight w:val="none"/>
          <w:lang w:val="en-US" w:eastAsia="zh-CN"/>
        </w:rPr>
        <w:t>13</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lang w:val="en-US" w:eastAsia="zh-CN"/>
        </w:rPr>
        <w:t>重新采购</w:t>
      </w:r>
      <w:r>
        <w:rPr>
          <w:rFonts w:hint="eastAsia" w:ascii="黑体" w:hAnsi="黑体" w:eastAsia="黑体" w:cs="黑体"/>
          <w:sz w:val="40"/>
          <w:szCs w:val="40"/>
          <w:highlight w:val="none"/>
          <w:lang w:eastAsia="zh-CN"/>
        </w:rPr>
        <w:t>）</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79"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pPr>
              <w:pStyle w:val="2"/>
              <w:ind w:firstLine="0" w:firstLineChars="0"/>
              <w:jc w:val="both"/>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数量</w:t>
            </w:r>
          </w:p>
        </w:tc>
        <w:tc>
          <w:tcPr>
            <w:tcW w:w="711" w:type="dxa"/>
            <w:noWrap w:val="0"/>
            <w:vAlign w:val="top"/>
          </w:tcPr>
          <w:p>
            <w:pPr>
              <w:pStyle w:val="2"/>
              <w:ind w:firstLine="0" w:firstLineChars="0"/>
              <w:jc w:val="center"/>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单位</w:t>
            </w:r>
          </w:p>
        </w:tc>
        <w:tc>
          <w:tcPr>
            <w:tcW w:w="767"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pPr>
              <w:pStyle w:val="2"/>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手动截止阀</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型号：J41H-25 PN25 DN100 ；T≤425℃；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阀体材质：WCB</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疏水阀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型号：CS61H-100C PN100 DN20；阀体材质：WCB</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疏水阀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型号：CS41H-25C PN25 DN20；阀体材质：WCB</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疏水阀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型号：CS41H-25C PN25 DN100；阀体材质：WCB</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疏水阀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型号：CS61H-100C PN100 DN65；阀体材质：WCB</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品牌：上海电站阀门厂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KC 油脂</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KC 油脂 KC 油脂No.2（日本油脂）；16kg/桶</w:t>
            </w:r>
          </w:p>
        </w:tc>
        <w:tc>
          <w:tcPr>
            <w:tcW w:w="60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桶</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numPr>
                <w:ilvl w:val="0"/>
                <w:numId w:val="0"/>
              </w:numPr>
              <w:spacing w:before="241" w:line="185" w:lineRule="auto"/>
              <w:ind w:left="210"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润滑油</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品牌：美孚力士；型号：EP2；16kg/桶</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ascii="Times New Roman"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二、尾气行车专业    咨询可联系：陈工 13532978990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8</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荧光粉</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红色/激发波长365/粒径325nm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150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kg</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9</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罗茨风机海绵滤芯</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ZW-406</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cs="宋体"/>
                <w:i w:val="0"/>
                <w:iCs w:val="0"/>
                <w:color w:val="000000"/>
                <w:kern w:val="0"/>
                <w:sz w:val="18"/>
                <w:szCs w:val="18"/>
                <w:u w:val="none"/>
                <w:lang w:val="en-US" w:eastAsia="zh-CN" w:bidi="ar"/>
              </w:rPr>
              <w:t>要求原厂件：</w:t>
            </w:r>
            <w:r>
              <w:rPr>
                <w:rFonts w:hint="eastAsia" w:ascii="宋体" w:hAnsi="宋体" w:eastAsia="宋体" w:cs="宋体"/>
                <w:i w:val="0"/>
                <w:iCs w:val="0"/>
                <w:color w:val="000000"/>
                <w:kern w:val="0"/>
                <w:sz w:val="18"/>
                <w:szCs w:val="18"/>
                <w:u w:val="none"/>
                <w:lang w:val="en-US" w:eastAsia="zh-CN" w:bidi="ar"/>
              </w:rPr>
              <w:t>山东章鼓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10</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罗茨风机海绵滤芯</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ZW508</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cs="宋体"/>
                <w:i w:val="0"/>
                <w:iCs w:val="0"/>
                <w:color w:val="000000"/>
                <w:kern w:val="0"/>
                <w:sz w:val="18"/>
                <w:szCs w:val="18"/>
                <w:u w:val="none"/>
                <w:lang w:val="en-US" w:eastAsia="zh-CN" w:bidi="ar"/>
              </w:rPr>
              <w:t>要求原厂件：</w:t>
            </w:r>
            <w:r>
              <w:rPr>
                <w:rFonts w:hint="eastAsia" w:ascii="宋体" w:hAnsi="宋体" w:eastAsia="宋体" w:cs="宋体"/>
                <w:i w:val="0"/>
                <w:iCs w:val="0"/>
                <w:color w:val="000000"/>
                <w:kern w:val="0"/>
                <w:sz w:val="18"/>
                <w:szCs w:val="18"/>
                <w:u w:val="none"/>
                <w:lang w:val="en-US" w:eastAsia="zh-CN" w:bidi="ar"/>
              </w:rPr>
              <w:t>山东章鼓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11</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碳钢板材</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Q235B 1500mm*3000mm*6mm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6</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张</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12</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不锈钢管道</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材质316 国标DN20 管壁厚3mm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法兰片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材质316 国标DN20 内径26.9mm厚度15mm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片</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法兰片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材质316 国标DN15 内径21.3mm厚度13mm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大小头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材质316 国标DN20变DN15 管壁厚3mm</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球阀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三片式   材质316 DN20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异径三通</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材质316 国标DN25变DN20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弹簧式单向阀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材质316 国标DN20 </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19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法兰片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 国标DN125</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法兰片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 国标DN100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透明钢丝软管</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内径130mm 管壁厚6mm  耐温100℃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活接</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直管活接 材质316 国标DN20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外牙直接</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 国标DN50 管壁厚5mm长度150mm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内牙帽盖</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碳钢 国标DN50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both"/>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90°弯头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材质20G 国标DN65 PN20 Mpa  壁厚9mm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ascii="Times New Roman"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三、气机专业    咨询可联系：罗工18973133258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高级真空泵油</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VG100 500ML</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瓶</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孚莱 FLY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滤油机精滤芯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HT8333GMBH40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泰州市宏电力设备有限公司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滤油机粗滤芯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HT70150WU</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泰州市宏电力设备有限公司戚工 13405528333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29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垃圾吊大车电机减速机（三合一）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SK6382ABG-132LH/4 BRE100 FHL SR TW HR</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诺德（中国）传动设备有限公司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30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垃圾吊小车电机减速机（三合一）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SK5282ABG-132MH/4 BRE100 FHL SR TF</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诺德（中国）传动设备有限公司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noWrap w:val="0"/>
            <w:vAlign w:val="top"/>
          </w:tcPr>
          <w:p>
            <w:pPr>
              <w:spacing w:before="241" w:line="185" w:lineRule="auto"/>
              <w:ind w:firstLine="156" w:firstLineChars="0"/>
              <w:jc w:val="center"/>
              <w:rPr>
                <w:rFonts w:hint="default" w:ascii="仿宋" w:hAnsi="仿宋" w:eastAsia="仿宋" w:cs="仿宋"/>
                <w:color w:val="auto"/>
                <w:spacing w:val="1"/>
                <w:kern w:val="2"/>
                <w:sz w:val="20"/>
                <w:szCs w:val="20"/>
                <w:highlight w:val="none"/>
                <w:lang w:val="en-US" w:eastAsia="zh-CN" w:bidi="ar-SA"/>
              </w:rPr>
            </w:pPr>
            <w:r>
              <w:rPr>
                <w:rFonts w:hint="eastAsia" w:ascii="仿宋" w:hAnsi="仿宋" w:eastAsia="仿宋" w:cs="仿宋"/>
                <w:color w:val="auto"/>
                <w:spacing w:val="1"/>
                <w:kern w:val="2"/>
                <w:sz w:val="20"/>
                <w:szCs w:val="20"/>
                <w:highlight w:val="none"/>
                <w:lang w:val="en-US" w:eastAsia="zh-CN" w:bidi="ar-SA"/>
              </w:rPr>
              <w:t>31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行车电机圆形减震橡胶块</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外径80mm,内孔25mm,厚度40mm,双面带铁板</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jc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四、电气专业    咨询可联系：郭工13790618364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橡套软电缆</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YC4*10</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479" w:type="dxa"/>
            <w:noWrap w:val="0"/>
            <w:vAlign w:val="center"/>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33</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LED护栏灯</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GKL6203   AC220-240V 30W</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上海基光照明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79" w:type="dxa"/>
            <w:noWrap w:val="0"/>
            <w:vAlign w:val="center"/>
          </w:tcPr>
          <w:p>
            <w:pPr>
              <w:spacing w:before="241" w:line="185" w:lineRule="auto"/>
              <w:ind w:firstLine="156"/>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34</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智能消防巡检控制器</w:t>
            </w:r>
          </w:p>
        </w:tc>
        <w:tc>
          <w:tcPr>
            <w:tcW w:w="2879" w:type="dxa"/>
            <w:noWrap w:val="0"/>
            <w:vAlign w:val="center"/>
          </w:tcPr>
          <w:p>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18"/>
                <w:szCs w:val="18"/>
                <w:u w:val="none"/>
                <w:lang w:val="en-US" w:eastAsia="zh-CN" w:bidi="ar"/>
              </w:rPr>
              <w:t>TH-EIZ10  24V</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北京紫光新锐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center"/>
          </w:tcPr>
          <w:p>
            <w:pPr>
              <w:pStyle w:val="2"/>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35</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304不锈钢检修箱</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600X500X300mm  含漏电保护总开关一只63A3P+N 含分开关四只16A1P*2+32A3P*1 含工业插座32A5芯380V一只  含工业插座16A3芯220V两只  元器件施耐德</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国产+施耐德元器件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479" w:type="dxa"/>
            <w:noWrap w:val="0"/>
            <w:vAlign w:val="center"/>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36</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防爆检修箱</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600X500X300mm  含漏电保护总开关一只63A3P+N 含分开关四只16A1P*2+32A3P*1 含工业插座32A5芯380V一只  含工业插座16A3芯220V两只  元器件施耐德</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国产+施耐德元器件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37</w:t>
            </w:r>
          </w:p>
        </w:tc>
        <w:tc>
          <w:tcPr>
            <w:tcW w:w="1584"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垃圾吊操作手柄</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WLK3+左右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天成自控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渣吊操作手柄</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WLK3+左右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yellow"/>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yellow"/>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yellow"/>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天成自控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39</w:t>
            </w:r>
          </w:p>
        </w:tc>
        <w:tc>
          <w:tcPr>
            <w:tcW w:w="1584" w:type="dxa"/>
            <w:noWrap w:val="0"/>
            <w:vAlign w:val="center"/>
          </w:tcPr>
          <w:p>
            <w:pPr>
              <w:keepNext w:val="0"/>
              <w:keepLines w:val="0"/>
              <w:widowControl/>
              <w:suppressLineNumbers w:val="0"/>
              <w:jc w:val="center"/>
              <w:textAlignment w:val="center"/>
              <w:rPr>
                <w:rFonts w:hint="eastAsia" w:ascii="宋体" w:hAnsi="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手柄按钮存放盒</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长200*宽100*高100mm  材质316不锈钢</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国产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40</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电缆温度传感器</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SPS076标配</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休普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41</w:t>
            </w:r>
          </w:p>
        </w:tc>
        <w:tc>
          <w:tcPr>
            <w:tcW w:w="1584"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电缆</w:t>
            </w:r>
          </w:p>
        </w:tc>
        <w:tc>
          <w:tcPr>
            <w:tcW w:w="2879"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3x2.5多股橡胶软电缆</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自攻螺丝</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default" w:ascii="Arial" w:hAnsi="Arial" w:eastAsia="宋体" w:cs="Arial"/>
                <w:i w:val="0"/>
                <w:iCs w:val="0"/>
                <w:color w:val="333333"/>
                <w:kern w:val="0"/>
                <w:sz w:val="18"/>
                <w:szCs w:val="18"/>
                <w:u w:val="none"/>
                <w:lang w:val="en-US" w:eastAsia="zh-CN" w:bidi="ar"/>
              </w:rPr>
              <w:t>M4.2*25 100个</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yellow"/>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yellow"/>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43</w:t>
            </w:r>
          </w:p>
        </w:tc>
        <w:tc>
          <w:tcPr>
            <w:tcW w:w="1584"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螺丝套装</w:t>
            </w:r>
          </w:p>
        </w:tc>
        <w:tc>
          <w:tcPr>
            <w:tcW w:w="2879"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default" w:ascii="Arial" w:hAnsi="Arial" w:eastAsia="宋体" w:cs="Arial"/>
                <w:i w:val="0"/>
                <w:iCs w:val="0"/>
                <w:color w:val="333333"/>
                <w:kern w:val="0"/>
                <w:sz w:val="18"/>
                <w:szCs w:val="18"/>
                <w:u w:val="none"/>
                <w:lang w:val="en-US" w:eastAsia="zh-CN" w:bidi="ar"/>
              </w:rPr>
              <w:t>装盒装螺丝组合304十字沉头螺丝M3-M5</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44</w:t>
            </w:r>
          </w:p>
        </w:tc>
        <w:tc>
          <w:tcPr>
            <w:tcW w:w="1584"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20"/>
                <w:szCs w:val="20"/>
                <w:u w:val="none"/>
                <w:lang w:val="en-US" w:eastAsia="zh-CN" w:bidi="ar-SA"/>
              </w:rPr>
            </w:pPr>
            <w:r>
              <w:rPr>
                <w:rFonts w:hint="eastAsia" w:ascii="宋体" w:hAnsi="宋体" w:eastAsia="宋体" w:cs="宋体"/>
                <w:i w:val="0"/>
                <w:iCs w:val="0"/>
                <w:color w:val="000000"/>
                <w:kern w:val="0"/>
                <w:sz w:val="18"/>
                <w:szCs w:val="18"/>
                <w:u w:val="none"/>
                <w:lang w:val="en-US" w:eastAsia="zh-CN" w:bidi="ar"/>
              </w:rPr>
              <w:t>PVC管卡</w:t>
            </w:r>
          </w:p>
        </w:tc>
        <w:tc>
          <w:tcPr>
            <w:tcW w:w="2879" w:type="dxa"/>
            <w:noWrap w:val="0"/>
            <w:vAlign w:val="center"/>
          </w:tcPr>
          <w:p>
            <w:pPr>
              <w:keepNext w:val="0"/>
              <w:keepLines w:val="0"/>
              <w:widowControl/>
              <w:suppressLineNumbers w:val="0"/>
              <w:jc w:val="center"/>
              <w:textAlignment w:val="center"/>
              <w:rPr>
                <w:rFonts w:ascii="微软雅黑" w:hAnsi="微软雅黑" w:eastAsia="微软雅黑" w:cs="微软雅黑"/>
                <w:b w:val="0"/>
                <w:bCs w:val="0"/>
                <w:i w:val="0"/>
                <w:color w:val="000000"/>
                <w:kern w:val="2"/>
                <w:sz w:val="18"/>
                <w:szCs w:val="18"/>
                <w:u w:val="none"/>
                <w:lang w:val="en-US" w:eastAsia="zh-CN" w:bidi="ar-SA"/>
              </w:rPr>
            </w:pPr>
            <w:r>
              <w:rPr>
                <w:rFonts w:hint="default" w:ascii="Arial" w:hAnsi="Arial" w:eastAsia="宋体" w:cs="Arial"/>
                <w:b w:val="0"/>
                <w:bCs w:val="0"/>
                <w:i w:val="0"/>
                <w:iCs w:val="0"/>
                <w:color w:val="666666"/>
                <w:kern w:val="0"/>
                <w:sz w:val="18"/>
                <w:szCs w:val="18"/>
                <w:u w:val="none"/>
                <w:lang w:val="en-US" w:eastAsia="zh-CN" w:bidi="ar"/>
              </w:rPr>
              <w:t>管卡 25（100个）</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45</w:t>
            </w:r>
          </w:p>
        </w:tc>
        <w:tc>
          <w:tcPr>
            <w:tcW w:w="1584" w:type="dxa"/>
            <w:noWrap w:val="0"/>
            <w:vAlign w:val="center"/>
          </w:tcPr>
          <w:p>
            <w:pPr>
              <w:keepNext w:val="0"/>
              <w:keepLines w:val="0"/>
              <w:widowControl/>
              <w:suppressLineNumbers w:val="0"/>
              <w:jc w:val="center"/>
              <w:textAlignment w:val="center"/>
              <w:rPr>
                <w:rFonts w:ascii="微软雅黑" w:hAnsi="微软雅黑" w:eastAsia="微软雅黑" w:cs="微软雅黑"/>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平头螺丝</w:t>
            </w:r>
          </w:p>
        </w:tc>
        <w:tc>
          <w:tcPr>
            <w:tcW w:w="2879" w:type="dxa"/>
            <w:noWrap w:val="0"/>
            <w:vAlign w:val="center"/>
          </w:tcPr>
          <w:p>
            <w:pPr>
              <w:keepNext w:val="0"/>
              <w:keepLines w:val="0"/>
              <w:widowControl/>
              <w:suppressLineNumbers w:val="0"/>
              <w:jc w:val="center"/>
              <w:textAlignment w:val="center"/>
              <w:rPr>
                <w:rFonts w:ascii="微软雅黑" w:hAnsi="微软雅黑" w:eastAsia="微软雅黑" w:cs="微软雅黑"/>
                <w:b w:val="0"/>
                <w:bCs w:val="0"/>
                <w:i w:val="0"/>
                <w:color w:val="000000"/>
                <w:kern w:val="2"/>
                <w:sz w:val="18"/>
                <w:szCs w:val="18"/>
                <w:u w:val="none"/>
                <w:lang w:val="en-US" w:eastAsia="zh-CN" w:bidi="ar-SA"/>
              </w:rPr>
            </w:pPr>
            <w:r>
              <w:rPr>
                <w:rFonts w:hint="default" w:ascii="Arial" w:hAnsi="Arial" w:eastAsia="宋体" w:cs="Arial"/>
                <w:b w:val="0"/>
                <w:bCs w:val="0"/>
                <w:i w:val="0"/>
                <w:iCs w:val="0"/>
                <w:color w:val="666666"/>
                <w:kern w:val="0"/>
                <w:sz w:val="18"/>
                <w:szCs w:val="18"/>
                <w:u w:val="none"/>
                <w:lang w:val="en-US" w:eastAsia="zh-CN" w:bidi="ar"/>
              </w:rPr>
              <w:t>M3.5x14[100只]</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46</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胶粒</w:t>
            </w:r>
          </w:p>
        </w:tc>
        <w:tc>
          <w:tcPr>
            <w:tcW w:w="2879" w:type="dxa"/>
            <w:noWrap w:val="0"/>
            <w:vAlign w:val="center"/>
          </w:tcPr>
          <w:p>
            <w:pPr>
              <w:keepNext w:val="0"/>
              <w:keepLines w:val="0"/>
              <w:widowControl/>
              <w:suppressLineNumbers w:val="0"/>
              <w:jc w:val="center"/>
              <w:textAlignment w:val="center"/>
              <w:rPr>
                <w:rFonts w:ascii="宋体" w:hAnsi="宋体" w:eastAsia="宋体" w:cs="宋体"/>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666666"/>
                <w:kern w:val="0"/>
                <w:sz w:val="18"/>
                <w:szCs w:val="18"/>
                <w:u w:val="none"/>
                <w:lang w:val="en-US" w:eastAsia="zh-CN" w:bidi="ar"/>
              </w:rPr>
              <w:t>6mm（500粒）</w:t>
            </w:r>
          </w:p>
        </w:tc>
        <w:tc>
          <w:tcPr>
            <w:tcW w:w="600"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47</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电力电缆</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YJV3*95+2*35</w:t>
            </w:r>
          </w:p>
        </w:tc>
        <w:tc>
          <w:tcPr>
            <w:tcW w:w="600"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南洋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48</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不锈钢304检修电源箱 </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600X500X300mm  含总开关一只400A 含分开关5只（220V63A2P*1+220V32A2P*1+220V80A2P*1+220V80A22P*1+220V80A22P*1 元器件施耐德</w:t>
            </w:r>
          </w:p>
        </w:tc>
        <w:tc>
          <w:tcPr>
            <w:tcW w:w="600"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国产+施耐德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五、热控专业    咨询可联系：袁工13750179258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49</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直流电源防浪涌保护器</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24V 直流电源防雷（电涌）保护器（震宇电子）      型号：ZYSPD05K24D</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120</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震宇电子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50</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移动硬盘</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西部数据(WD) 5TB 移动硬盘 USB3.0 Elements 新元素系列2.5英寸 机械硬盘</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西部数据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51</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铁皮剪刀</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世达（SATA）直头航空剪铁皮剪刀加长直头航空剪 93104A</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世达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52</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超声波清洗机</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科盟超声波清洗机工业实验室15L大容量360W大功率除油KM-615C</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科盟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53</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气管接头</w:t>
            </w:r>
          </w:p>
        </w:tc>
        <w:tc>
          <w:tcPr>
            <w:tcW w:w="2879"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冰禹BJyq-67 PC外螺纹直通快速插接头 PC10-03(接10mm管3分外丝)（每包100个）</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冰禹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气管接头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冰禹BJyq-67 PC外螺纹直通快速插接头 PC8-03(接8mm管3分外丝)（每包50个）</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冰禹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接近开关</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亚德客CS1-F，DC/AC5-240V 100mA</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亚德客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定制法兰盘</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材质316不锈钢，外径190mm，厚度12mm,螺丝中心孔距158mm,共8孔，中心开孔螺牙M27*2mm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涡街流量计</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型号：WFLUGB-2215FCE，流量范围280-2240m3/h,介质：天然气，防爆等级：ExdIICT6Gb,管径DN150</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湖北南控仪表科技有限公司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电导率二次表及探头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+GF+电导率二次表表及探头</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六、水处理专业    咨询可联系：刘工13421901444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59</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哈希COD试剂</w:t>
            </w:r>
          </w:p>
        </w:tc>
        <w:tc>
          <w:tcPr>
            <w:tcW w:w="2879" w:type="dxa"/>
            <w:noWrap w:val="0"/>
            <w:vAlign w:val="center"/>
          </w:tcPr>
          <w:p>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18"/>
                <w:szCs w:val="18"/>
                <w:u w:val="none"/>
                <w:lang w:val="en-US" w:eastAsia="zh-CN" w:bidi="ar"/>
              </w:rPr>
              <w:t>品牌：哈希，货号：2125915-CN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20-1500mg/l，150支/盒</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哈希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60</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尼龙板刷</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9号:宽约6.1cm</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61</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总磷试剂</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品牌：哈希，货号:TNT844-CN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0.5-5.0㎎/L，50支/盒</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哈希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62</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机械隔膜泵</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seko品牌，型号MS1C165B31C4080</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品牌seko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63</w:t>
            </w:r>
          </w:p>
        </w:tc>
        <w:tc>
          <w:tcPr>
            <w:tcW w:w="158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18"/>
                <w:szCs w:val="18"/>
                <w:u w:val="none"/>
                <w:lang w:val="en-US" w:eastAsia="zh-CN" w:bidi="ar"/>
              </w:rPr>
              <w:t>机械密封</w:t>
            </w:r>
          </w:p>
        </w:tc>
        <w:tc>
          <w:tcPr>
            <w:tcW w:w="2879" w:type="dxa"/>
            <w:noWrap w:val="0"/>
            <w:vAlign w:val="center"/>
          </w:tcPr>
          <w:p>
            <w:pPr>
              <w:keepNext w:val="0"/>
              <w:keepLines w:val="0"/>
              <w:widowControl/>
              <w:suppressLineNumbers w:val="0"/>
              <w:jc w:val="center"/>
              <w:textAlignment w:val="center"/>
              <w:rPr>
                <w:rFonts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品牌：南方，型号NISO-53/SWE4</w:t>
            </w:r>
          </w:p>
        </w:tc>
        <w:tc>
          <w:tcPr>
            <w:tcW w:w="600"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品牌南方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七、安环专业    咨询可联系：王工13249988088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64</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警示隔离带</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红白 50米</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100</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卷</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65</w:t>
            </w:r>
          </w:p>
        </w:tc>
        <w:tc>
          <w:tcPr>
            <w:tcW w:w="1584" w:type="dxa"/>
            <w:noWrap w:val="0"/>
            <w:vAlign w:val="center"/>
          </w:tcPr>
          <w:p>
            <w:pPr>
              <w:keepNext w:val="0"/>
              <w:keepLines w:val="0"/>
              <w:widowControl/>
              <w:suppressLineNumbers w:val="0"/>
              <w:jc w:val="center"/>
              <w:textAlignment w:val="center"/>
              <w:rPr>
                <w:rFonts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雪糕筒警示柱</w:t>
            </w:r>
          </w:p>
        </w:tc>
        <w:tc>
          <w:tcPr>
            <w:tcW w:w="287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红白 70CM高 34CM宽</w:t>
            </w:r>
          </w:p>
        </w:tc>
        <w:tc>
          <w:tcPr>
            <w:tcW w:w="60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15</w:t>
            </w:r>
          </w:p>
        </w:tc>
        <w:tc>
          <w:tcPr>
            <w:tcW w:w="71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防坠器</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橡胶反光诱导标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黄黑 100mmX20mmX10mm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31" w:type="dxa"/>
            <w:gridSpan w:val="8"/>
            <w:noWrap w:val="0"/>
            <w:vAlign w:val="top"/>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八、机务检修专业    咨询可联系：廖工18677264687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电动手电钻</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东成20V无刷冲击锂电钻WJZ05-13E充电式手电钻</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品牌东成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电动手磨机</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东成20V无刷充电式角磨机WSM03-100S锂电</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品牌东成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内六角</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世达（SATA） 12件公制特长球头内六角</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品牌世达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吸尘器</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杰诺吸尘器大吸力 1600W/20L 精选版</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品牌杰诺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斜口钳</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6寸水口钳斜口钳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品牌京选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尖嘴钳</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保联9合1多功能尖嘴钳</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品牌保联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电动螺丝刀</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德力西（DELIXI） 电动螺丝刀</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品牌德力西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220V线盘</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野狼YL27011030移动电缆盘3x2.5平方30米10A</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品牌野狼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铝合金人字梯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铝合金人字梯1.5米高加厚</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品牌链工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铝合金人字梯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铝合金人字梯3米高红加厚</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品牌链工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电络铁</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宝工（Pro'sKit)SS-936H焊台电烙铁套装控温恒温电洛铁电焊台60W</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品牌宝工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铜扳手</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防爆开口扳手铝青铜13件套</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铜活动扳手</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防爆工具活扳手铝青铜8寸(实用款）</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380V线盘</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鹏艾鑫移动380V三相四线电缆盘16A线盘4芯绕线盘4*2.5/30米国标纯铜/380V</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品牌鹏艾鑫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防水插头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DTCEE防水工业插头 4芯16A插头</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品牌DTCEE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防水插头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正泰（CHNT）ip67防水航空工业插头插座三相电16A5芯16A插头</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品牌正泰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防水插头</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工业插座航空插头3芯220V3芯16A插头</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J422焊条</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大桥牌THJ422 电焊条碳钢焊条J422-3.2型 20公斤/箱</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品牌大桥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角磨机切割片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工蜂角磨机切片100型砂轮片双网不锈钢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/金属切割片105mm*1.0mm*16mm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品牌工蜂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型材切割机片</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金象（gold elehpant）切割片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350x3.2x25.4黑片 /片</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品牌金象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神火（Supfire）强光手电筒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多功能照明汽修带磁铁充电LED</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品牌神火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拉马</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轴承拉码分离器蝶式双盘拉马维修拆卸工具</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液氮罐</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液氮罐50L,125口径</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火钳</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铁钳工业火钳取件钳火钳工业用锻造夹持工具80CM,100CM,120CM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color w:val="auto"/>
                <w:kern w:val="2"/>
                <w:sz w:val="18"/>
                <w:szCs w:val="18"/>
                <w:highlight w:val="none"/>
                <w:lang w:val="en-US" w:eastAsia="zh-CN" w:bidi="ar-SA"/>
              </w:rPr>
              <w:t>3种规格各2把，总6把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铆钉枪</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手动省力拉帽枪铆钉枪</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93</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照明灯</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东成电池工作灯电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上侧按键5寸，两侧按键5寸</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品牌东成</w:t>
            </w:r>
            <w:r>
              <w:rPr>
                <w:rFonts w:hint="eastAsia" w:ascii="宋体" w:hAnsi="宋体" w:cs="宋体"/>
                <w:i w:val="0"/>
                <w:iCs w:val="0"/>
                <w:color w:val="000000"/>
                <w:kern w:val="0"/>
                <w:sz w:val="18"/>
                <w:szCs w:val="18"/>
                <w:u w:val="none"/>
                <w:lang w:val="en-US" w:eastAsia="zh-CN" w:bidi="ar"/>
              </w:rPr>
              <w:t>，两种规格各5台，总10台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94</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1T1M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95</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1T3M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96</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3T2M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97</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3T6M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98</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5T3M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99</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5T8M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100</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10T5M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101</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扁平吊带</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巨力索具股份有限公司 W01型 10T8M</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品牌巨力索具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479" w:type="dxa"/>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102</w:t>
            </w:r>
          </w:p>
        </w:tc>
        <w:tc>
          <w:tcPr>
            <w:tcW w:w="158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焊丝</w:t>
            </w:r>
          </w:p>
        </w:tc>
        <w:tc>
          <w:tcPr>
            <w:tcW w:w="287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河北通明 YD-212 耐磨药芯焊丝</w:t>
            </w:r>
          </w:p>
        </w:tc>
        <w:tc>
          <w:tcPr>
            <w:tcW w:w="6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7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702"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2209"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品牌河北通明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4942" w:type="dxa"/>
            <w:gridSpan w:val="3"/>
            <w:noWrap w:val="0"/>
            <w:vAlign w:val="center"/>
          </w:tcPr>
          <w:p>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pPr>
              <w:spacing w:before="224" w:line="178" w:lineRule="auto"/>
              <w:jc w:val="center"/>
              <w:rPr>
                <w:rFonts w:hint="eastAsia" w:ascii="仿宋_GB2312" w:hAnsi="仿宋_GB2312" w:eastAsia="仿宋_GB2312" w:cs="仿宋_GB2312"/>
                <w:b w:val="0"/>
                <w:bCs w:val="0"/>
                <w:color w:val="auto"/>
                <w:sz w:val="24"/>
                <w:szCs w:val="24"/>
                <w:highlight w:val="none"/>
              </w:rPr>
            </w:pPr>
          </w:p>
        </w:tc>
      </w:tr>
    </w:tbl>
    <w:p>
      <w:pPr>
        <w:rPr>
          <w:rFonts w:ascii="宋体" w:hAnsi="宋体"/>
          <w:sz w:val="24"/>
          <w:szCs w:val="24"/>
          <w:highlight w:val="none"/>
        </w:rPr>
      </w:pPr>
      <w:r>
        <w:rPr>
          <w:rFonts w:ascii="宋体" w:hAnsi="宋体"/>
          <w:sz w:val="24"/>
          <w:szCs w:val="24"/>
          <w:highlight w:val="none"/>
        </w:rPr>
        <w:br w:type="page"/>
      </w:r>
    </w:p>
    <w:p>
      <w:pPr>
        <w:pStyle w:val="2"/>
        <w:jc w:val="center"/>
        <w:rPr>
          <w:rFonts w:hint="eastAsia"/>
          <w:sz w:val="32"/>
          <w:szCs w:val="28"/>
          <w:highlight w:val="none"/>
          <w:lang w:val="en-US" w:eastAsia="zh-CN"/>
        </w:rPr>
      </w:pPr>
      <w:r>
        <w:rPr>
          <w:rFonts w:hint="eastAsia"/>
          <w:sz w:val="32"/>
          <w:szCs w:val="28"/>
          <w:highlight w:val="none"/>
          <w:lang w:val="en-US" w:eastAsia="zh-CN"/>
        </w:rPr>
        <w:t>部分物资参考图片</w:t>
      </w:r>
    </w:p>
    <w:p>
      <w:pPr>
        <w:pStyle w:val="2"/>
        <w:rPr>
          <w:rFonts w:hint="eastAsia" w:ascii="宋体" w:hAnsi="宋体" w:cs="宋体"/>
          <w:i w:val="0"/>
          <w:color w:val="000000"/>
          <w:kern w:val="0"/>
          <w:sz w:val="18"/>
          <w:szCs w:val="18"/>
          <w:u w:val="none"/>
          <w:lang w:val="en-US" w:eastAsia="zh-CN" w:bidi="ar"/>
        </w:rPr>
      </w:pPr>
      <w:r>
        <w:rPr>
          <w:rFonts w:hint="eastAsia" w:ascii="宋体" w:hAnsi="宋体" w:cs="宋体"/>
          <w:i w:val="0"/>
          <w:iCs w:val="0"/>
          <w:color w:val="000000"/>
          <w:kern w:val="0"/>
          <w:sz w:val="28"/>
          <w:szCs w:val="28"/>
          <w:u w:val="none"/>
          <w:lang w:val="en-US" w:eastAsia="zh-CN" w:bidi="ar"/>
        </w:rPr>
        <w:t>行车电机圆形减震橡胶块</w:t>
      </w:r>
      <w:r>
        <w:rPr>
          <w:rFonts w:hint="eastAsia" w:ascii="宋体" w:hAnsi="宋体" w:cs="宋体"/>
          <w:i w:val="0"/>
          <w:color w:val="000000"/>
          <w:kern w:val="0"/>
          <w:sz w:val="18"/>
          <w:szCs w:val="18"/>
          <w:u w:val="none"/>
          <w:lang w:val="en-US" w:eastAsia="zh-CN" w:bidi="ar"/>
        </w:rPr>
        <w:t>：</w:t>
      </w:r>
    </w:p>
    <w:p>
      <w:pPr>
        <w:pStyle w:val="3"/>
      </w:pPr>
      <w:r>
        <w:drawing>
          <wp:inline distT="0" distB="0" distL="114300" distR="114300">
            <wp:extent cx="1740535" cy="1565910"/>
            <wp:effectExtent l="0" t="0" r="12065" b="8890"/>
            <wp:docPr id="32" name="图片 31"/>
            <wp:cNvGraphicFramePr/>
            <a:graphic xmlns:a="http://schemas.openxmlformats.org/drawingml/2006/main">
              <a:graphicData uri="http://schemas.openxmlformats.org/drawingml/2006/picture">
                <pic:pic xmlns:pic="http://schemas.openxmlformats.org/drawingml/2006/picture">
                  <pic:nvPicPr>
                    <pic:cNvPr id="32" name="图片 31"/>
                    <pic:cNvPicPr/>
                  </pic:nvPicPr>
                  <pic:blipFill>
                    <a:blip r:embed="rId11" r:link="rId12"/>
                    <a:stretch>
                      <a:fillRect/>
                    </a:stretch>
                  </pic:blipFill>
                  <pic:spPr>
                    <a:xfrm>
                      <a:off x="0" y="0"/>
                      <a:ext cx="1740535" cy="1565910"/>
                    </a:xfrm>
                    <a:prstGeom prst="rect">
                      <a:avLst/>
                    </a:prstGeom>
                  </pic:spPr>
                </pic:pic>
              </a:graphicData>
            </a:graphic>
          </wp:inline>
        </w:drawing>
      </w:r>
    </w:p>
    <w:p>
      <w:pPr>
        <w:pStyle w:val="3"/>
        <w:rPr>
          <w:rFonts w:hint="eastAsia"/>
          <w:sz w:val="28"/>
          <w:szCs w:val="28"/>
          <w:lang w:val="en-US" w:eastAsia="zh-CN"/>
        </w:rPr>
      </w:pPr>
      <w:r>
        <w:rPr>
          <w:rFonts w:hint="eastAsia"/>
          <w:sz w:val="28"/>
          <w:szCs w:val="28"/>
          <w:lang w:val="en-US" w:eastAsia="zh-CN"/>
        </w:rPr>
        <w:t>接近开关：</w:t>
      </w:r>
    </w:p>
    <w:p>
      <w:pPr>
        <w:pStyle w:val="3"/>
      </w:pPr>
      <w:r>
        <w:drawing>
          <wp:inline distT="0" distB="0" distL="114300" distR="114300">
            <wp:extent cx="1757680" cy="1674495"/>
            <wp:effectExtent l="0" t="0" r="7620" b="1905"/>
            <wp:docPr id="63" name="63"/>
            <wp:cNvGraphicFramePr/>
            <a:graphic xmlns:a="http://schemas.openxmlformats.org/drawingml/2006/main">
              <a:graphicData uri="http://schemas.openxmlformats.org/drawingml/2006/picture">
                <pic:pic xmlns:pic="http://schemas.openxmlformats.org/drawingml/2006/picture">
                  <pic:nvPicPr>
                    <pic:cNvPr id="63" name="63"/>
                    <pic:cNvPicPr/>
                  </pic:nvPicPr>
                  <pic:blipFill>
                    <a:blip r:embed="rId13" r:link="rId12"/>
                    <a:stretch>
                      <a:fillRect/>
                    </a:stretch>
                  </pic:blipFill>
                  <pic:spPr>
                    <a:xfrm>
                      <a:off x="0" y="0"/>
                      <a:ext cx="1757680" cy="1674495"/>
                    </a:xfrm>
                    <a:prstGeom prst="rect">
                      <a:avLst/>
                    </a:prstGeom>
                  </pic:spPr>
                </pic:pic>
              </a:graphicData>
            </a:graphic>
          </wp:inline>
        </w:drawing>
      </w:r>
    </w:p>
    <w:p>
      <w:pPr>
        <w:pStyle w:val="3"/>
        <w:rPr>
          <w:rFonts w:hint="eastAsia"/>
          <w:sz w:val="28"/>
          <w:szCs w:val="28"/>
          <w:lang w:val="en-US" w:eastAsia="zh-CN"/>
        </w:rPr>
      </w:pPr>
      <w:r>
        <w:rPr>
          <w:rFonts w:hint="eastAsia"/>
          <w:sz w:val="28"/>
          <w:szCs w:val="28"/>
          <w:lang w:val="en-US" w:eastAsia="zh-CN"/>
        </w:rPr>
        <w:t>定制法兰盘：</w:t>
      </w:r>
    </w:p>
    <w:p>
      <w:pPr>
        <w:pStyle w:val="3"/>
      </w:pPr>
      <w:r>
        <w:drawing>
          <wp:inline distT="0" distB="0" distL="114300" distR="114300">
            <wp:extent cx="1777365" cy="1075055"/>
            <wp:effectExtent l="0" t="0" r="635" b="4445"/>
            <wp:docPr id="62" name="62"/>
            <wp:cNvGraphicFramePr/>
            <a:graphic xmlns:a="http://schemas.openxmlformats.org/drawingml/2006/main">
              <a:graphicData uri="http://schemas.openxmlformats.org/drawingml/2006/picture">
                <pic:pic xmlns:pic="http://schemas.openxmlformats.org/drawingml/2006/picture">
                  <pic:nvPicPr>
                    <pic:cNvPr id="62" name="62"/>
                    <pic:cNvPicPr/>
                  </pic:nvPicPr>
                  <pic:blipFill>
                    <a:blip r:embed="rId14" r:link="rId12"/>
                    <a:stretch>
                      <a:fillRect/>
                    </a:stretch>
                  </pic:blipFill>
                  <pic:spPr>
                    <a:xfrm>
                      <a:off x="0" y="0"/>
                      <a:ext cx="1777365" cy="1075055"/>
                    </a:xfrm>
                    <a:prstGeom prst="rect">
                      <a:avLst/>
                    </a:prstGeom>
                  </pic:spPr>
                </pic:pic>
              </a:graphicData>
            </a:graphic>
          </wp:inline>
        </w:drawing>
      </w:r>
    </w:p>
    <w:p>
      <w:pPr>
        <w:pStyle w:val="3"/>
        <w:rPr>
          <w:rFonts w:hint="eastAsia"/>
          <w:sz w:val="28"/>
          <w:szCs w:val="28"/>
          <w:lang w:val="en-US" w:eastAsia="zh-CN"/>
        </w:rPr>
      </w:pPr>
      <w:r>
        <w:rPr>
          <w:rFonts w:hint="eastAsia"/>
          <w:sz w:val="28"/>
          <w:szCs w:val="28"/>
          <w:lang w:val="en-US" w:eastAsia="zh-CN"/>
        </w:rPr>
        <w:t>涡街流量计：</w:t>
      </w:r>
    </w:p>
    <w:p>
      <w:pPr>
        <w:pStyle w:val="3"/>
      </w:pPr>
      <w:r>
        <w:drawing>
          <wp:inline distT="0" distB="0" distL="114300" distR="114300">
            <wp:extent cx="1799590" cy="1253490"/>
            <wp:effectExtent l="0" t="0" r="3810" b="3810"/>
            <wp:docPr id="60" name="60"/>
            <wp:cNvGraphicFramePr/>
            <a:graphic xmlns:a="http://schemas.openxmlformats.org/drawingml/2006/main">
              <a:graphicData uri="http://schemas.openxmlformats.org/drawingml/2006/picture">
                <pic:pic xmlns:pic="http://schemas.openxmlformats.org/drawingml/2006/picture">
                  <pic:nvPicPr>
                    <pic:cNvPr id="60" name="60"/>
                    <pic:cNvPicPr/>
                  </pic:nvPicPr>
                  <pic:blipFill>
                    <a:blip r:embed="rId15" r:link="rId12"/>
                    <a:stretch>
                      <a:fillRect/>
                    </a:stretch>
                  </pic:blipFill>
                  <pic:spPr>
                    <a:xfrm>
                      <a:off x="0" y="0"/>
                      <a:ext cx="1799590" cy="125349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电导率二次表及探头：</w:t>
      </w:r>
    </w:p>
    <w:p>
      <w:pPr>
        <w:pStyle w:val="3"/>
        <w:ind w:left="0" w:leftChars="0" w:firstLine="0" w:firstLineChars="0"/>
      </w:pPr>
      <w:r>
        <w:drawing>
          <wp:inline distT="0" distB="0" distL="114300" distR="114300">
            <wp:extent cx="1825625" cy="1256030"/>
            <wp:effectExtent l="0" t="0" r="3175" b="1270"/>
            <wp:docPr id="61" name="61"/>
            <wp:cNvGraphicFramePr/>
            <a:graphic xmlns:a="http://schemas.openxmlformats.org/drawingml/2006/main">
              <a:graphicData uri="http://schemas.openxmlformats.org/drawingml/2006/picture">
                <pic:pic xmlns:pic="http://schemas.openxmlformats.org/drawingml/2006/picture">
                  <pic:nvPicPr>
                    <pic:cNvPr id="61" name="61"/>
                    <pic:cNvPicPr/>
                  </pic:nvPicPr>
                  <pic:blipFill>
                    <a:blip r:embed="rId16" r:link="rId12"/>
                    <a:stretch>
                      <a:fillRect/>
                    </a:stretch>
                  </pic:blipFill>
                  <pic:spPr>
                    <a:xfrm>
                      <a:off x="0" y="0"/>
                      <a:ext cx="1825625" cy="125603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机械隔膜泵：</w:t>
      </w:r>
    </w:p>
    <w:p>
      <w:pPr>
        <w:pStyle w:val="3"/>
        <w:ind w:left="0" w:leftChars="0" w:firstLine="0" w:firstLineChars="0"/>
      </w:pPr>
      <w:r>
        <w:drawing>
          <wp:inline distT="0" distB="0" distL="114300" distR="114300">
            <wp:extent cx="1677670" cy="1487805"/>
            <wp:effectExtent l="0" t="0" r="11430" b="10795"/>
            <wp:docPr id="51" name="图片 50"/>
            <wp:cNvGraphicFramePr/>
            <a:graphic xmlns:a="http://schemas.openxmlformats.org/drawingml/2006/main">
              <a:graphicData uri="http://schemas.openxmlformats.org/drawingml/2006/picture">
                <pic:pic xmlns:pic="http://schemas.openxmlformats.org/drawingml/2006/picture">
                  <pic:nvPicPr>
                    <pic:cNvPr id="51" name="图片 50"/>
                    <pic:cNvPicPr/>
                  </pic:nvPicPr>
                  <pic:blipFill>
                    <a:blip r:embed="rId17" r:link="rId12"/>
                    <a:stretch>
                      <a:fillRect/>
                    </a:stretch>
                  </pic:blipFill>
                  <pic:spPr>
                    <a:xfrm>
                      <a:off x="0" y="0"/>
                      <a:ext cx="1677670" cy="1487805"/>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机械密封：</w:t>
      </w:r>
    </w:p>
    <w:p>
      <w:pPr>
        <w:pStyle w:val="3"/>
        <w:ind w:left="0" w:leftChars="0" w:firstLine="0" w:firstLineChars="0"/>
      </w:pPr>
      <w:r>
        <w:drawing>
          <wp:inline distT="0" distB="0" distL="114300" distR="114300">
            <wp:extent cx="1675130" cy="1285875"/>
            <wp:effectExtent l="0" t="0" r="1270" b="9525"/>
            <wp:docPr id="58" name="图片 57"/>
            <wp:cNvGraphicFramePr/>
            <a:graphic xmlns:a="http://schemas.openxmlformats.org/drawingml/2006/main">
              <a:graphicData uri="http://schemas.openxmlformats.org/drawingml/2006/picture">
                <pic:pic xmlns:pic="http://schemas.openxmlformats.org/drawingml/2006/picture">
                  <pic:nvPicPr>
                    <pic:cNvPr id="58" name="图片 57"/>
                    <pic:cNvPicPr/>
                  </pic:nvPicPr>
                  <pic:blipFill>
                    <a:blip r:embed="rId18" r:link="rId12"/>
                    <a:stretch>
                      <a:fillRect/>
                    </a:stretch>
                  </pic:blipFill>
                  <pic:spPr>
                    <a:xfrm>
                      <a:off x="0" y="0"/>
                      <a:ext cx="1675130" cy="1285875"/>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橡胶反光诱导标：</w:t>
      </w:r>
    </w:p>
    <w:p>
      <w:pPr>
        <w:pStyle w:val="3"/>
        <w:ind w:left="0" w:leftChars="0" w:firstLine="0" w:firstLineChars="0"/>
      </w:pPr>
      <w:r>
        <w:drawing>
          <wp:inline distT="0" distB="0" distL="114300" distR="114300">
            <wp:extent cx="1649095" cy="1418590"/>
            <wp:effectExtent l="0" t="0" r="190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1649095" cy="1418590"/>
                    </a:xfrm>
                    <a:prstGeom prst="rect">
                      <a:avLst/>
                    </a:prstGeom>
                    <a:noFill/>
                    <a:ln>
                      <a:noFill/>
                    </a:ln>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电动手电钻：</w:t>
      </w:r>
    </w:p>
    <w:p>
      <w:pPr>
        <w:pStyle w:val="3"/>
        <w:ind w:left="0" w:leftChars="0" w:firstLine="0" w:firstLineChars="0"/>
      </w:pPr>
      <w:r>
        <w:drawing>
          <wp:inline distT="0" distB="0" distL="114300" distR="114300">
            <wp:extent cx="1471930" cy="1246505"/>
            <wp:effectExtent l="0" t="0" r="1270" b="10795"/>
            <wp:docPr id="33" name="图片 32"/>
            <wp:cNvGraphicFramePr/>
            <a:graphic xmlns:a="http://schemas.openxmlformats.org/drawingml/2006/main">
              <a:graphicData uri="http://schemas.openxmlformats.org/drawingml/2006/picture">
                <pic:pic xmlns:pic="http://schemas.openxmlformats.org/drawingml/2006/picture">
                  <pic:nvPicPr>
                    <pic:cNvPr id="33" name="图片 32"/>
                    <pic:cNvPicPr/>
                  </pic:nvPicPr>
                  <pic:blipFill>
                    <a:blip r:embed="rId20" r:link="rId12"/>
                    <a:stretch>
                      <a:fillRect/>
                    </a:stretch>
                  </pic:blipFill>
                  <pic:spPr>
                    <a:xfrm>
                      <a:off x="0" y="0"/>
                      <a:ext cx="1471930" cy="1246505"/>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电动手磨机：</w:t>
      </w:r>
    </w:p>
    <w:p>
      <w:pPr>
        <w:pStyle w:val="3"/>
        <w:ind w:left="0" w:leftChars="0" w:firstLine="0" w:firstLineChars="0"/>
      </w:pPr>
      <w:r>
        <w:drawing>
          <wp:inline distT="0" distB="0" distL="114300" distR="114300">
            <wp:extent cx="1399540" cy="1171575"/>
            <wp:effectExtent l="0" t="0" r="10160" b="9525"/>
            <wp:docPr id="53" name="图片 52"/>
            <wp:cNvGraphicFramePr/>
            <a:graphic xmlns:a="http://schemas.openxmlformats.org/drawingml/2006/main">
              <a:graphicData uri="http://schemas.openxmlformats.org/drawingml/2006/picture">
                <pic:pic xmlns:pic="http://schemas.openxmlformats.org/drawingml/2006/picture">
                  <pic:nvPicPr>
                    <pic:cNvPr id="53" name="图片 52"/>
                    <pic:cNvPicPr/>
                  </pic:nvPicPr>
                  <pic:blipFill>
                    <a:blip r:embed="rId21" r:link="rId12"/>
                    <a:stretch>
                      <a:fillRect/>
                    </a:stretch>
                  </pic:blipFill>
                  <pic:spPr>
                    <a:xfrm>
                      <a:off x="0" y="0"/>
                      <a:ext cx="1399540" cy="1171575"/>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电动螺丝刀：</w:t>
      </w:r>
    </w:p>
    <w:p>
      <w:pPr>
        <w:pStyle w:val="3"/>
        <w:ind w:left="0" w:leftChars="0" w:firstLine="0" w:firstLineChars="0"/>
      </w:pPr>
      <w:r>
        <w:drawing>
          <wp:inline distT="0" distB="0" distL="114300" distR="114300">
            <wp:extent cx="1454785" cy="1465580"/>
            <wp:effectExtent l="0" t="0" r="5715" b="7620"/>
            <wp:docPr id="35" name="图片 34"/>
            <wp:cNvGraphicFramePr/>
            <a:graphic xmlns:a="http://schemas.openxmlformats.org/drawingml/2006/main">
              <a:graphicData uri="http://schemas.openxmlformats.org/drawingml/2006/picture">
                <pic:pic xmlns:pic="http://schemas.openxmlformats.org/drawingml/2006/picture">
                  <pic:nvPicPr>
                    <pic:cNvPr id="35" name="图片 34"/>
                    <pic:cNvPicPr/>
                  </pic:nvPicPr>
                  <pic:blipFill>
                    <a:blip r:embed="rId22" r:link="rId12"/>
                    <a:stretch>
                      <a:fillRect/>
                    </a:stretch>
                  </pic:blipFill>
                  <pic:spPr>
                    <a:xfrm>
                      <a:off x="0" y="0"/>
                      <a:ext cx="1454785" cy="146558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电络铁：</w:t>
      </w:r>
    </w:p>
    <w:p>
      <w:pPr>
        <w:pStyle w:val="3"/>
        <w:ind w:left="0" w:leftChars="0" w:firstLine="0" w:firstLineChars="0"/>
      </w:pPr>
      <w:r>
        <w:drawing>
          <wp:inline distT="0" distB="0" distL="114300" distR="114300">
            <wp:extent cx="1499870" cy="1197610"/>
            <wp:effectExtent l="0" t="0" r="11430" b="8890"/>
            <wp:docPr id="30" name="图片 29"/>
            <wp:cNvGraphicFramePr/>
            <a:graphic xmlns:a="http://schemas.openxmlformats.org/drawingml/2006/main">
              <a:graphicData uri="http://schemas.openxmlformats.org/drawingml/2006/picture">
                <pic:pic xmlns:pic="http://schemas.openxmlformats.org/drawingml/2006/picture">
                  <pic:nvPicPr>
                    <pic:cNvPr id="30" name="图片 29"/>
                    <pic:cNvPicPr/>
                  </pic:nvPicPr>
                  <pic:blipFill>
                    <a:blip r:embed="rId23" r:link="rId12"/>
                    <a:stretch>
                      <a:fillRect/>
                    </a:stretch>
                  </pic:blipFill>
                  <pic:spPr>
                    <a:xfrm>
                      <a:off x="0" y="0"/>
                      <a:ext cx="1499870" cy="119761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eastAsia"/>
          <w:sz w:val="28"/>
          <w:szCs w:val="28"/>
          <w:lang w:val="en-US" w:eastAsia="zh-CN"/>
        </w:rPr>
        <w:t>防水插头：</w:t>
      </w:r>
    </w:p>
    <w:p>
      <w:pPr>
        <w:pStyle w:val="3"/>
        <w:ind w:left="0" w:leftChars="0" w:firstLine="0" w:firstLineChars="0"/>
        <w:rPr>
          <w:rFonts w:hint="eastAsia"/>
          <w:sz w:val="28"/>
          <w:szCs w:val="28"/>
          <w:lang w:val="en-US" w:eastAsia="zh-CN"/>
        </w:rPr>
      </w:pPr>
      <w:r>
        <w:drawing>
          <wp:inline distT="0" distB="0" distL="114300" distR="114300">
            <wp:extent cx="1510665" cy="918210"/>
            <wp:effectExtent l="0" t="0" r="635" b="8890"/>
            <wp:docPr id="54" name="图片 53"/>
            <wp:cNvGraphicFramePr/>
            <a:graphic xmlns:a="http://schemas.openxmlformats.org/drawingml/2006/main">
              <a:graphicData uri="http://schemas.openxmlformats.org/drawingml/2006/picture">
                <pic:pic xmlns:pic="http://schemas.openxmlformats.org/drawingml/2006/picture">
                  <pic:nvPicPr>
                    <pic:cNvPr id="54" name="图片 53"/>
                    <pic:cNvPicPr/>
                  </pic:nvPicPr>
                  <pic:blipFill>
                    <a:blip r:embed="rId24" r:link="rId12"/>
                    <a:stretch>
                      <a:fillRect/>
                    </a:stretch>
                  </pic:blipFill>
                  <pic:spPr>
                    <a:xfrm>
                      <a:off x="0" y="0"/>
                      <a:ext cx="1510665" cy="918210"/>
                    </a:xfrm>
                    <a:prstGeom prst="rect">
                      <a:avLst/>
                    </a:prstGeom>
                  </pic:spPr>
                </pic:pic>
              </a:graphicData>
            </a:graphic>
          </wp:inline>
        </w:drawing>
      </w:r>
    </w:p>
    <w:p>
      <w:pPr>
        <w:pStyle w:val="3"/>
        <w:rPr>
          <w:rFonts w:hint="eastAsia"/>
          <w:sz w:val="28"/>
          <w:szCs w:val="28"/>
          <w:lang w:val="en-US" w:eastAsia="zh-CN"/>
        </w:rPr>
      </w:pPr>
      <w:r>
        <w:rPr>
          <w:rFonts w:hint="eastAsia"/>
          <w:sz w:val="28"/>
          <w:szCs w:val="28"/>
          <w:lang w:val="en-US" w:eastAsia="zh-CN"/>
        </w:rPr>
        <w:t>拉马：</w:t>
      </w:r>
    </w:p>
    <w:p>
      <w:pPr>
        <w:pStyle w:val="3"/>
        <w:rPr>
          <w:rFonts w:hint="eastAsia"/>
          <w:sz w:val="28"/>
          <w:szCs w:val="28"/>
          <w:lang w:val="en-US" w:eastAsia="zh-CN"/>
        </w:rPr>
      </w:pPr>
      <w:r>
        <w:drawing>
          <wp:inline distT="0" distB="0" distL="114300" distR="114300">
            <wp:extent cx="1531620" cy="1297940"/>
            <wp:effectExtent l="0" t="0" r="5080" b="10160"/>
            <wp:docPr id="46" name="图片 45"/>
            <wp:cNvGraphicFramePr/>
            <a:graphic xmlns:a="http://schemas.openxmlformats.org/drawingml/2006/main">
              <a:graphicData uri="http://schemas.openxmlformats.org/drawingml/2006/picture">
                <pic:pic xmlns:pic="http://schemas.openxmlformats.org/drawingml/2006/picture">
                  <pic:nvPicPr>
                    <pic:cNvPr id="46" name="图片 45"/>
                    <pic:cNvPicPr/>
                  </pic:nvPicPr>
                  <pic:blipFill>
                    <a:blip r:embed="rId25" r:link="rId12"/>
                    <a:stretch>
                      <a:fillRect/>
                    </a:stretch>
                  </pic:blipFill>
                  <pic:spPr>
                    <a:xfrm>
                      <a:off x="0" y="0"/>
                      <a:ext cx="1531620" cy="129794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default"/>
          <w:sz w:val="28"/>
          <w:szCs w:val="28"/>
          <w:lang w:val="en-US" w:eastAsia="zh-CN"/>
        </w:rPr>
        <w:t>液氮罐</w:t>
      </w:r>
      <w:r>
        <w:rPr>
          <w:rFonts w:hint="eastAsia"/>
          <w:sz w:val="28"/>
          <w:szCs w:val="28"/>
          <w:lang w:val="en-US" w:eastAsia="zh-CN"/>
        </w:rPr>
        <w:t>：</w:t>
      </w:r>
    </w:p>
    <w:p>
      <w:pPr>
        <w:pStyle w:val="3"/>
        <w:ind w:left="0" w:leftChars="0" w:firstLine="0" w:firstLineChars="0"/>
      </w:pPr>
      <w:r>
        <w:drawing>
          <wp:inline distT="0" distB="0" distL="114300" distR="114300">
            <wp:extent cx="1732915" cy="1543050"/>
            <wp:effectExtent l="0" t="0" r="6985" b="6350"/>
            <wp:docPr id="31" name="图片 30"/>
            <wp:cNvGraphicFramePr/>
            <a:graphic xmlns:a="http://schemas.openxmlformats.org/drawingml/2006/main">
              <a:graphicData uri="http://schemas.openxmlformats.org/drawingml/2006/picture">
                <pic:pic xmlns:pic="http://schemas.openxmlformats.org/drawingml/2006/picture">
                  <pic:nvPicPr>
                    <pic:cNvPr id="31" name="图片 30"/>
                    <pic:cNvPicPr/>
                  </pic:nvPicPr>
                  <pic:blipFill>
                    <a:blip r:embed="rId26" r:link="rId12"/>
                    <a:stretch>
                      <a:fillRect/>
                    </a:stretch>
                  </pic:blipFill>
                  <pic:spPr>
                    <a:xfrm>
                      <a:off x="0" y="0"/>
                      <a:ext cx="1732915" cy="1543050"/>
                    </a:xfrm>
                    <a:prstGeom prst="rect">
                      <a:avLst/>
                    </a:prstGeom>
                  </pic:spPr>
                </pic:pic>
              </a:graphicData>
            </a:graphic>
          </wp:inline>
        </w:drawing>
      </w:r>
    </w:p>
    <w:p>
      <w:pPr>
        <w:pStyle w:val="3"/>
        <w:ind w:left="0" w:leftChars="0" w:firstLine="0" w:firstLineChars="0"/>
        <w:rPr>
          <w:rFonts w:hint="eastAsia"/>
          <w:sz w:val="28"/>
          <w:szCs w:val="28"/>
          <w:lang w:val="en-US" w:eastAsia="zh-CN"/>
        </w:rPr>
      </w:pPr>
      <w:r>
        <w:rPr>
          <w:rFonts w:hint="default"/>
          <w:sz w:val="28"/>
          <w:szCs w:val="28"/>
          <w:lang w:val="en-US" w:eastAsia="zh-CN"/>
        </w:rPr>
        <w:t>铆钉枪</w:t>
      </w:r>
      <w:r>
        <w:rPr>
          <w:rFonts w:hint="eastAsia"/>
          <w:sz w:val="28"/>
          <w:szCs w:val="28"/>
          <w:lang w:val="en-US" w:eastAsia="zh-CN"/>
        </w:rPr>
        <w:t>：</w:t>
      </w:r>
    </w:p>
    <w:p>
      <w:pPr>
        <w:pStyle w:val="3"/>
        <w:ind w:left="0" w:leftChars="0" w:firstLine="0" w:firstLineChars="0"/>
      </w:pPr>
      <w:r>
        <w:drawing>
          <wp:inline distT="0" distB="0" distL="114300" distR="114300">
            <wp:extent cx="1680845" cy="1512570"/>
            <wp:effectExtent l="0" t="0" r="8255" b="11430"/>
            <wp:docPr id="39" name="图片 38"/>
            <wp:cNvGraphicFramePr/>
            <a:graphic xmlns:a="http://schemas.openxmlformats.org/drawingml/2006/main">
              <a:graphicData uri="http://schemas.openxmlformats.org/drawingml/2006/picture">
                <pic:pic xmlns:pic="http://schemas.openxmlformats.org/drawingml/2006/picture">
                  <pic:nvPicPr>
                    <pic:cNvPr id="39" name="图片 38"/>
                    <pic:cNvPicPr/>
                  </pic:nvPicPr>
                  <pic:blipFill>
                    <a:blip r:embed="rId27" r:link="rId12"/>
                    <a:stretch>
                      <a:fillRect/>
                    </a:stretch>
                  </pic:blipFill>
                  <pic:spPr>
                    <a:xfrm>
                      <a:off x="0" y="0"/>
                      <a:ext cx="1680845" cy="1512570"/>
                    </a:xfrm>
                    <a:prstGeom prst="rect">
                      <a:avLst/>
                    </a:prstGeom>
                  </pic:spPr>
                </pic:pic>
              </a:graphicData>
            </a:graphic>
          </wp:inline>
        </w:drawing>
      </w:r>
      <w:bookmarkStart w:id="57" w:name="_GoBack"/>
      <w:bookmarkEnd w:id="57"/>
    </w:p>
    <w:p>
      <w:pPr>
        <w:pStyle w:val="3"/>
        <w:ind w:left="0" w:leftChars="0" w:firstLine="0" w:firstLineChars="0"/>
        <w:rPr>
          <w:rFonts w:hint="default"/>
          <w:sz w:val="28"/>
          <w:szCs w:val="28"/>
          <w:lang w:val="en-US" w:eastAsia="zh-CN"/>
        </w:rPr>
      </w:pPr>
      <w:r>
        <w:rPr>
          <w:rFonts w:hint="eastAsia"/>
          <w:sz w:val="28"/>
          <w:szCs w:val="28"/>
          <w:lang w:val="en-US" w:eastAsia="zh-CN"/>
        </w:rPr>
        <w:t>焊丝：                     照明灯：</w:t>
      </w:r>
    </w:p>
    <w:p>
      <w:pPr>
        <w:pStyle w:val="3"/>
        <w:ind w:left="0" w:leftChars="0" w:firstLine="0" w:firstLineChars="0"/>
        <w:rPr>
          <w:rFonts w:hint="eastAsia" w:eastAsia="宋体"/>
          <w:sz w:val="28"/>
          <w:szCs w:val="28"/>
          <w:lang w:val="en-US" w:eastAsia="zh-CN"/>
        </w:rPr>
      </w:pPr>
      <w:r>
        <w:drawing>
          <wp:inline distT="0" distB="0" distL="114300" distR="114300">
            <wp:extent cx="1790700" cy="1600200"/>
            <wp:effectExtent l="0" t="0" r="0" b="0"/>
            <wp:docPr id="42" name="图片 41"/>
            <wp:cNvGraphicFramePr/>
            <a:graphic xmlns:a="http://schemas.openxmlformats.org/drawingml/2006/main">
              <a:graphicData uri="http://schemas.openxmlformats.org/drawingml/2006/picture">
                <pic:pic xmlns:pic="http://schemas.openxmlformats.org/drawingml/2006/picture">
                  <pic:nvPicPr>
                    <pic:cNvPr id="42" name="图片 41"/>
                    <pic:cNvPicPr/>
                  </pic:nvPicPr>
                  <pic:blipFill>
                    <a:blip r:embed="rId28" r:link="rId12"/>
                    <a:stretch>
                      <a:fillRect/>
                    </a:stretch>
                  </pic:blipFill>
                  <pic:spPr>
                    <a:xfrm>
                      <a:off x="0" y="0"/>
                      <a:ext cx="1790700" cy="1600200"/>
                    </a:xfrm>
                    <a:prstGeom prst="rect">
                      <a:avLst/>
                    </a:prstGeom>
                  </pic:spPr>
                </pic:pic>
              </a:graphicData>
            </a:graphic>
          </wp:inline>
        </w:drawing>
      </w:r>
      <w:r>
        <w:rPr>
          <w:rFonts w:hint="eastAsia"/>
          <w:lang w:val="en-US" w:eastAsia="zh-CN"/>
        </w:rPr>
        <w:t xml:space="preserve">                   </w:t>
      </w:r>
      <w:r>
        <w:drawing>
          <wp:inline distT="0" distB="0" distL="114300" distR="114300">
            <wp:extent cx="1505585" cy="1481455"/>
            <wp:effectExtent l="0" t="0" r="571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1505585" cy="1481455"/>
                    </a:xfrm>
                    <a:prstGeom prst="rect">
                      <a:avLst/>
                    </a:prstGeom>
                    <a:noFill/>
                    <a:ln>
                      <a:noFill/>
                    </a:ln>
                  </pic:spPr>
                </pic:pic>
              </a:graphicData>
            </a:graphic>
          </wp:inline>
        </w:drawing>
      </w:r>
    </w:p>
    <w:p>
      <w:pPr>
        <w:pStyle w:val="3"/>
        <w:rPr>
          <w:rFonts w:hint="eastAsia"/>
          <w:lang w:val="en-US" w:eastAsia="zh-CN"/>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创艺简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pPr>
          <w:pStyle w:val="10"/>
          <w:spacing w:before="120"/>
          <w:jc w:val="center"/>
        </w:pPr>
      </w:p>
    </w:sdtContent>
  </w:sdt>
  <w:p>
    <w:pPr>
      <w:pStyle w:val="10"/>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8A2978"/>
    <w:rsid w:val="01E9256F"/>
    <w:rsid w:val="01F91325"/>
    <w:rsid w:val="0204131B"/>
    <w:rsid w:val="02063739"/>
    <w:rsid w:val="028770D3"/>
    <w:rsid w:val="028B66D5"/>
    <w:rsid w:val="02AC173E"/>
    <w:rsid w:val="02BE582C"/>
    <w:rsid w:val="02CF3119"/>
    <w:rsid w:val="02D5471B"/>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480FC7"/>
    <w:rsid w:val="045022DD"/>
    <w:rsid w:val="045D36CC"/>
    <w:rsid w:val="04981731"/>
    <w:rsid w:val="049F0C1B"/>
    <w:rsid w:val="04A5035F"/>
    <w:rsid w:val="04A649F6"/>
    <w:rsid w:val="04C85B77"/>
    <w:rsid w:val="04CF6E29"/>
    <w:rsid w:val="04E43B75"/>
    <w:rsid w:val="05082192"/>
    <w:rsid w:val="050C59EA"/>
    <w:rsid w:val="050D2A9B"/>
    <w:rsid w:val="054C4B13"/>
    <w:rsid w:val="0566036B"/>
    <w:rsid w:val="05663D21"/>
    <w:rsid w:val="056A0D08"/>
    <w:rsid w:val="059366CF"/>
    <w:rsid w:val="05B005E5"/>
    <w:rsid w:val="05B87B12"/>
    <w:rsid w:val="05BB0E27"/>
    <w:rsid w:val="05D00163"/>
    <w:rsid w:val="05D70DB9"/>
    <w:rsid w:val="0641664A"/>
    <w:rsid w:val="06460246"/>
    <w:rsid w:val="068816E8"/>
    <w:rsid w:val="06A236FF"/>
    <w:rsid w:val="06B7358F"/>
    <w:rsid w:val="06F539DE"/>
    <w:rsid w:val="070111DD"/>
    <w:rsid w:val="07347967"/>
    <w:rsid w:val="074320E7"/>
    <w:rsid w:val="074C7D90"/>
    <w:rsid w:val="0770520B"/>
    <w:rsid w:val="077C34B8"/>
    <w:rsid w:val="07A209C4"/>
    <w:rsid w:val="07EA5E2D"/>
    <w:rsid w:val="07EC261C"/>
    <w:rsid w:val="07EF0711"/>
    <w:rsid w:val="080D26DA"/>
    <w:rsid w:val="081C7E5D"/>
    <w:rsid w:val="08283642"/>
    <w:rsid w:val="08284245"/>
    <w:rsid w:val="08391181"/>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C40CDA"/>
    <w:rsid w:val="0A2D58D3"/>
    <w:rsid w:val="0A4E47C8"/>
    <w:rsid w:val="0A6F3D19"/>
    <w:rsid w:val="0A887FBA"/>
    <w:rsid w:val="0A9578EA"/>
    <w:rsid w:val="0A9855FA"/>
    <w:rsid w:val="0A9B4FED"/>
    <w:rsid w:val="0AB811A5"/>
    <w:rsid w:val="0AEC7127"/>
    <w:rsid w:val="0B063FF5"/>
    <w:rsid w:val="0B0C0A79"/>
    <w:rsid w:val="0B343C32"/>
    <w:rsid w:val="0B451F6A"/>
    <w:rsid w:val="0B636CD4"/>
    <w:rsid w:val="0B705BE3"/>
    <w:rsid w:val="0B7E1688"/>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29263B"/>
    <w:rsid w:val="0D3B1DFE"/>
    <w:rsid w:val="0D9B57CA"/>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F136F00"/>
    <w:rsid w:val="0F173921"/>
    <w:rsid w:val="0F3235D9"/>
    <w:rsid w:val="0F543E57"/>
    <w:rsid w:val="0F621F40"/>
    <w:rsid w:val="0F8C6CB2"/>
    <w:rsid w:val="0FDC1CDC"/>
    <w:rsid w:val="10223C48"/>
    <w:rsid w:val="1030496E"/>
    <w:rsid w:val="104826E0"/>
    <w:rsid w:val="1058205D"/>
    <w:rsid w:val="1081066D"/>
    <w:rsid w:val="1094767D"/>
    <w:rsid w:val="109617B2"/>
    <w:rsid w:val="109A050C"/>
    <w:rsid w:val="109B4883"/>
    <w:rsid w:val="10CA6A02"/>
    <w:rsid w:val="11117E67"/>
    <w:rsid w:val="11182730"/>
    <w:rsid w:val="11293521"/>
    <w:rsid w:val="11375345"/>
    <w:rsid w:val="114619CE"/>
    <w:rsid w:val="11465FF5"/>
    <w:rsid w:val="115654E3"/>
    <w:rsid w:val="11595062"/>
    <w:rsid w:val="11D21F02"/>
    <w:rsid w:val="120C5D21"/>
    <w:rsid w:val="123649A8"/>
    <w:rsid w:val="12385DAA"/>
    <w:rsid w:val="12410B8B"/>
    <w:rsid w:val="12475EA9"/>
    <w:rsid w:val="133360BD"/>
    <w:rsid w:val="137A1844"/>
    <w:rsid w:val="13C85D56"/>
    <w:rsid w:val="14040081"/>
    <w:rsid w:val="140B464A"/>
    <w:rsid w:val="142D218A"/>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60FD9"/>
    <w:rsid w:val="16355694"/>
    <w:rsid w:val="16432BC3"/>
    <w:rsid w:val="164475C7"/>
    <w:rsid w:val="1650078C"/>
    <w:rsid w:val="16626A27"/>
    <w:rsid w:val="16684ADD"/>
    <w:rsid w:val="167A2455"/>
    <w:rsid w:val="169F48DF"/>
    <w:rsid w:val="16C2206D"/>
    <w:rsid w:val="16E07F9A"/>
    <w:rsid w:val="17003878"/>
    <w:rsid w:val="171438BA"/>
    <w:rsid w:val="17230955"/>
    <w:rsid w:val="175076BE"/>
    <w:rsid w:val="17AA0F9F"/>
    <w:rsid w:val="17B714AB"/>
    <w:rsid w:val="182770BA"/>
    <w:rsid w:val="18307103"/>
    <w:rsid w:val="18331625"/>
    <w:rsid w:val="183445FE"/>
    <w:rsid w:val="183F42E8"/>
    <w:rsid w:val="186E6A90"/>
    <w:rsid w:val="18863017"/>
    <w:rsid w:val="18932829"/>
    <w:rsid w:val="189A0DA0"/>
    <w:rsid w:val="18AA6B85"/>
    <w:rsid w:val="18AC6D73"/>
    <w:rsid w:val="18B350A3"/>
    <w:rsid w:val="18C36A99"/>
    <w:rsid w:val="18F605BB"/>
    <w:rsid w:val="19267D5B"/>
    <w:rsid w:val="19431DA3"/>
    <w:rsid w:val="19C162BB"/>
    <w:rsid w:val="19C8432D"/>
    <w:rsid w:val="19D03415"/>
    <w:rsid w:val="1A114A2E"/>
    <w:rsid w:val="1A40729A"/>
    <w:rsid w:val="1A462F08"/>
    <w:rsid w:val="1A740AEE"/>
    <w:rsid w:val="1AC029B2"/>
    <w:rsid w:val="1AD2126E"/>
    <w:rsid w:val="1AD749B1"/>
    <w:rsid w:val="1B4716B4"/>
    <w:rsid w:val="1B7815CA"/>
    <w:rsid w:val="1B9F64DE"/>
    <w:rsid w:val="1BB400F5"/>
    <w:rsid w:val="1BB56A48"/>
    <w:rsid w:val="1BC0349E"/>
    <w:rsid w:val="1C08419D"/>
    <w:rsid w:val="1C7137C5"/>
    <w:rsid w:val="1CA00BF7"/>
    <w:rsid w:val="1D102DA4"/>
    <w:rsid w:val="1D4D5FFD"/>
    <w:rsid w:val="1D60322D"/>
    <w:rsid w:val="1D7B5E2C"/>
    <w:rsid w:val="1D983953"/>
    <w:rsid w:val="1D9D6494"/>
    <w:rsid w:val="1DD9387C"/>
    <w:rsid w:val="1DDD4935"/>
    <w:rsid w:val="1DE05978"/>
    <w:rsid w:val="1E130059"/>
    <w:rsid w:val="1E1C4541"/>
    <w:rsid w:val="1E1D08F9"/>
    <w:rsid w:val="1E2D7E56"/>
    <w:rsid w:val="1E530F7B"/>
    <w:rsid w:val="1E895861"/>
    <w:rsid w:val="1EB558D4"/>
    <w:rsid w:val="1EC10142"/>
    <w:rsid w:val="1ECA1C9D"/>
    <w:rsid w:val="1EDF3E9F"/>
    <w:rsid w:val="1F003FF4"/>
    <w:rsid w:val="1F0A75FE"/>
    <w:rsid w:val="1F0E097D"/>
    <w:rsid w:val="1F243709"/>
    <w:rsid w:val="1F3406BD"/>
    <w:rsid w:val="1F7A0970"/>
    <w:rsid w:val="1F7C0C0C"/>
    <w:rsid w:val="1F896D7E"/>
    <w:rsid w:val="1F991A14"/>
    <w:rsid w:val="202975DD"/>
    <w:rsid w:val="203D3B8E"/>
    <w:rsid w:val="207761C8"/>
    <w:rsid w:val="209E2C67"/>
    <w:rsid w:val="20EA5EBD"/>
    <w:rsid w:val="215D3AC5"/>
    <w:rsid w:val="216F32CA"/>
    <w:rsid w:val="217B20CF"/>
    <w:rsid w:val="21CB6FBF"/>
    <w:rsid w:val="21DE7908"/>
    <w:rsid w:val="21E76179"/>
    <w:rsid w:val="220845A6"/>
    <w:rsid w:val="220F0311"/>
    <w:rsid w:val="22124112"/>
    <w:rsid w:val="221638BC"/>
    <w:rsid w:val="221D4E54"/>
    <w:rsid w:val="223F43C3"/>
    <w:rsid w:val="22461C32"/>
    <w:rsid w:val="225766ED"/>
    <w:rsid w:val="227109EA"/>
    <w:rsid w:val="227B3018"/>
    <w:rsid w:val="228A22DE"/>
    <w:rsid w:val="228A350B"/>
    <w:rsid w:val="228C637A"/>
    <w:rsid w:val="22B07711"/>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2F3D6C"/>
    <w:rsid w:val="24461C6B"/>
    <w:rsid w:val="24531CE3"/>
    <w:rsid w:val="245A3D5B"/>
    <w:rsid w:val="245E0A8A"/>
    <w:rsid w:val="249454A5"/>
    <w:rsid w:val="24964EF8"/>
    <w:rsid w:val="249A7996"/>
    <w:rsid w:val="24BE28A6"/>
    <w:rsid w:val="24E22663"/>
    <w:rsid w:val="24E23C99"/>
    <w:rsid w:val="24F062D2"/>
    <w:rsid w:val="2529444A"/>
    <w:rsid w:val="253B3777"/>
    <w:rsid w:val="253E3770"/>
    <w:rsid w:val="256A6608"/>
    <w:rsid w:val="256C3FE9"/>
    <w:rsid w:val="256F4081"/>
    <w:rsid w:val="259174A4"/>
    <w:rsid w:val="25A17AC4"/>
    <w:rsid w:val="25A71EE0"/>
    <w:rsid w:val="25D60E9E"/>
    <w:rsid w:val="260343EC"/>
    <w:rsid w:val="26160809"/>
    <w:rsid w:val="261A371B"/>
    <w:rsid w:val="26482E8A"/>
    <w:rsid w:val="265005E2"/>
    <w:rsid w:val="267E2359"/>
    <w:rsid w:val="26BC7CBC"/>
    <w:rsid w:val="26CA55C3"/>
    <w:rsid w:val="26F64CE5"/>
    <w:rsid w:val="271327C9"/>
    <w:rsid w:val="27447ED5"/>
    <w:rsid w:val="275F3A77"/>
    <w:rsid w:val="27744012"/>
    <w:rsid w:val="2777004F"/>
    <w:rsid w:val="27BB0A82"/>
    <w:rsid w:val="27C86687"/>
    <w:rsid w:val="27D2107F"/>
    <w:rsid w:val="27D67007"/>
    <w:rsid w:val="27FE6849"/>
    <w:rsid w:val="284F0253"/>
    <w:rsid w:val="28644870"/>
    <w:rsid w:val="288A4353"/>
    <w:rsid w:val="28A53BF2"/>
    <w:rsid w:val="28AC7791"/>
    <w:rsid w:val="28F6607A"/>
    <w:rsid w:val="293E1F8D"/>
    <w:rsid w:val="29442E9B"/>
    <w:rsid w:val="29674CC8"/>
    <w:rsid w:val="297A6E50"/>
    <w:rsid w:val="297F2E73"/>
    <w:rsid w:val="2A113167"/>
    <w:rsid w:val="2A1F6016"/>
    <w:rsid w:val="2A2B6113"/>
    <w:rsid w:val="2A4F1B3F"/>
    <w:rsid w:val="2A555ED0"/>
    <w:rsid w:val="2A5D2CA5"/>
    <w:rsid w:val="2A75051E"/>
    <w:rsid w:val="2AAB33FF"/>
    <w:rsid w:val="2AB8143E"/>
    <w:rsid w:val="2AE949DF"/>
    <w:rsid w:val="2AF12441"/>
    <w:rsid w:val="2AF764E5"/>
    <w:rsid w:val="2B1C1A3A"/>
    <w:rsid w:val="2B250539"/>
    <w:rsid w:val="2B3B474B"/>
    <w:rsid w:val="2B3E72B6"/>
    <w:rsid w:val="2B4E27CA"/>
    <w:rsid w:val="2B8D044E"/>
    <w:rsid w:val="2BC27B4B"/>
    <w:rsid w:val="2C016BB8"/>
    <w:rsid w:val="2C2F27D7"/>
    <w:rsid w:val="2C79418D"/>
    <w:rsid w:val="2C9B70E1"/>
    <w:rsid w:val="2CE4166F"/>
    <w:rsid w:val="2D0E6CE1"/>
    <w:rsid w:val="2D26240A"/>
    <w:rsid w:val="2D2F2667"/>
    <w:rsid w:val="2D307F4F"/>
    <w:rsid w:val="2D407E72"/>
    <w:rsid w:val="2D591F74"/>
    <w:rsid w:val="2D625044"/>
    <w:rsid w:val="2D77461B"/>
    <w:rsid w:val="2D9F7BBA"/>
    <w:rsid w:val="2DD625D6"/>
    <w:rsid w:val="2DDD6BFF"/>
    <w:rsid w:val="2E053518"/>
    <w:rsid w:val="2E227E46"/>
    <w:rsid w:val="2E400C5F"/>
    <w:rsid w:val="2E440F97"/>
    <w:rsid w:val="2E5209E3"/>
    <w:rsid w:val="2E5A17DE"/>
    <w:rsid w:val="2E8564A5"/>
    <w:rsid w:val="2E8A4911"/>
    <w:rsid w:val="2E9670C4"/>
    <w:rsid w:val="2EB01AFE"/>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D1119A"/>
    <w:rsid w:val="30D31826"/>
    <w:rsid w:val="30D43148"/>
    <w:rsid w:val="30F12F4C"/>
    <w:rsid w:val="31024B58"/>
    <w:rsid w:val="3112402E"/>
    <w:rsid w:val="313D3E38"/>
    <w:rsid w:val="31760F72"/>
    <w:rsid w:val="31A535A1"/>
    <w:rsid w:val="31F92C45"/>
    <w:rsid w:val="321F4FEF"/>
    <w:rsid w:val="322634C5"/>
    <w:rsid w:val="32384358"/>
    <w:rsid w:val="32611BF0"/>
    <w:rsid w:val="3268420D"/>
    <w:rsid w:val="32706B60"/>
    <w:rsid w:val="32791431"/>
    <w:rsid w:val="327C6E3D"/>
    <w:rsid w:val="329C5193"/>
    <w:rsid w:val="32ED5524"/>
    <w:rsid w:val="33170AEB"/>
    <w:rsid w:val="333F39DC"/>
    <w:rsid w:val="33450D24"/>
    <w:rsid w:val="33565979"/>
    <w:rsid w:val="33A83294"/>
    <w:rsid w:val="33B02C55"/>
    <w:rsid w:val="33B77DB8"/>
    <w:rsid w:val="33FD6174"/>
    <w:rsid w:val="34011E26"/>
    <w:rsid w:val="340439CF"/>
    <w:rsid w:val="341B4D23"/>
    <w:rsid w:val="345C3B03"/>
    <w:rsid w:val="349870EC"/>
    <w:rsid w:val="34A34D3C"/>
    <w:rsid w:val="34AE6BFF"/>
    <w:rsid w:val="34BF4271"/>
    <w:rsid w:val="34D545BA"/>
    <w:rsid w:val="35351763"/>
    <w:rsid w:val="3537507A"/>
    <w:rsid w:val="35750B6C"/>
    <w:rsid w:val="358C742B"/>
    <w:rsid w:val="3594691D"/>
    <w:rsid w:val="359C5EEF"/>
    <w:rsid w:val="35B50693"/>
    <w:rsid w:val="35E30B2B"/>
    <w:rsid w:val="364E252C"/>
    <w:rsid w:val="3663111C"/>
    <w:rsid w:val="36634890"/>
    <w:rsid w:val="3676725F"/>
    <w:rsid w:val="36835891"/>
    <w:rsid w:val="369F5FC3"/>
    <w:rsid w:val="36A81FB2"/>
    <w:rsid w:val="36B1372E"/>
    <w:rsid w:val="36B164AC"/>
    <w:rsid w:val="36B7581C"/>
    <w:rsid w:val="37160ED8"/>
    <w:rsid w:val="3722158D"/>
    <w:rsid w:val="375E09FC"/>
    <w:rsid w:val="376A21C2"/>
    <w:rsid w:val="377A0F99"/>
    <w:rsid w:val="37800B40"/>
    <w:rsid w:val="37A133A3"/>
    <w:rsid w:val="37FD6FF9"/>
    <w:rsid w:val="38034F46"/>
    <w:rsid w:val="3805002B"/>
    <w:rsid w:val="381C5B9B"/>
    <w:rsid w:val="38361BA4"/>
    <w:rsid w:val="38525FA9"/>
    <w:rsid w:val="38526E75"/>
    <w:rsid w:val="386B258D"/>
    <w:rsid w:val="388A293F"/>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92EDF"/>
    <w:rsid w:val="3AC853CC"/>
    <w:rsid w:val="3AEE50E4"/>
    <w:rsid w:val="3B010F46"/>
    <w:rsid w:val="3B0517D8"/>
    <w:rsid w:val="3B0B040C"/>
    <w:rsid w:val="3B3E055C"/>
    <w:rsid w:val="3B4804F7"/>
    <w:rsid w:val="3B765960"/>
    <w:rsid w:val="3B9B6524"/>
    <w:rsid w:val="3BA0033D"/>
    <w:rsid w:val="3BA528F6"/>
    <w:rsid w:val="3BED1DD7"/>
    <w:rsid w:val="3C0D3146"/>
    <w:rsid w:val="3C3F2D65"/>
    <w:rsid w:val="3C582CD8"/>
    <w:rsid w:val="3C5F4C5A"/>
    <w:rsid w:val="3C650EFE"/>
    <w:rsid w:val="3C755A40"/>
    <w:rsid w:val="3C7C43FF"/>
    <w:rsid w:val="3CC405B3"/>
    <w:rsid w:val="3D3B4812"/>
    <w:rsid w:val="3D8A537D"/>
    <w:rsid w:val="3D8F5840"/>
    <w:rsid w:val="3DA70A4C"/>
    <w:rsid w:val="3DA82B7F"/>
    <w:rsid w:val="3DAF1BD5"/>
    <w:rsid w:val="3DB24665"/>
    <w:rsid w:val="3E094E14"/>
    <w:rsid w:val="3E2546CD"/>
    <w:rsid w:val="3E4D5759"/>
    <w:rsid w:val="3E661272"/>
    <w:rsid w:val="3E691DE9"/>
    <w:rsid w:val="3E8A049E"/>
    <w:rsid w:val="3E8A5F09"/>
    <w:rsid w:val="3EA07079"/>
    <w:rsid w:val="3EBC660E"/>
    <w:rsid w:val="3EC96912"/>
    <w:rsid w:val="3ECF2534"/>
    <w:rsid w:val="3ED9416D"/>
    <w:rsid w:val="3F577100"/>
    <w:rsid w:val="3F6941E1"/>
    <w:rsid w:val="3F7A6A72"/>
    <w:rsid w:val="3F954FA0"/>
    <w:rsid w:val="3F9B1F35"/>
    <w:rsid w:val="3FA85836"/>
    <w:rsid w:val="3FC610B5"/>
    <w:rsid w:val="400374F9"/>
    <w:rsid w:val="4019244E"/>
    <w:rsid w:val="40511376"/>
    <w:rsid w:val="40531C58"/>
    <w:rsid w:val="40C12F37"/>
    <w:rsid w:val="40C91A64"/>
    <w:rsid w:val="40CD0D6A"/>
    <w:rsid w:val="40CD7210"/>
    <w:rsid w:val="40DE2987"/>
    <w:rsid w:val="40E21F81"/>
    <w:rsid w:val="40FF0F16"/>
    <w:rsid w:val="410D47C6"/>
    <w:rsid w:val="41192D98"/>
    <w:rsid w:val="413E5CD9"/>
    <w:rsid w:val="414337A7"/>
    <w:rsid w:val="415E5E0D"/>
    <w:rsid w:val="41955C5F"/>
    <w:rsid w:val="41BB6EC9"/>
    <w:rsid w:val="41EE64C3"/>
    <w:rsid w:val="4238196C"/>
    <w:rsid w:val="424B591E"/>
    <w:rsid w:val="4271634D"/>
    <w:rsid w:val="429E0DD2"/>
    <w:rsid w:val="42B0288A"/>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D020CE"/>
    <w:rsid w:val="44F057A6"/>
    <w:rsid w:val="4521617F"/>
    <w:rsid w:val="4547596A"/>
    <w:rsid w:val="455C7DF1"/>
    <w:rsid w:val="45865A79"/>
    <w:rsid w:val="458F395F"/>
    <w:rsid w:val="459E32E0"/>
    <w:rsid w:val="45A95346"/>
    <w:rsid w:val="45EE06D5"/>
    <w:rsid w:val="46203128"/>
    <w:rsid w:val="462C60A0"/>
    <w:rsid w:val="46416F41"/>
    <w:rsid w:val="46487A7F"/>
    <w:rsid w:val="465E0432"/>
    <w:rsid w:val="466A6433"/>
    <w:rsid w:val="469A5597"/>
    <w:rsid w:val="46A10793"/>
    <w:rsid w:val="46A316B8"/>
    <w:rsid w:val="46A41952"/>
    <w:rsid w:val="46C4203A"/>
    <w:rsid w:val="46DA18B7"/>
    <w:rsid w:val="470E29AE"/>
    <w:rsid w:val="474249F4"/>
    <w:rsid w:val="474B43A7"/>
    <w:rsid w:val="474F5F65"/>
    <w:rsid w:val="47665B4F"/>
    <w:rsid w:val="47765844"/>
    <w:rsid w:val="47985035"/>
    <w:rsid w:val="47CD163B"/>
    <w:rsid w:val="47DC5E24"/>
    <w:rsid w:val="482E365F"/>
    <w:rsid w:val="484B0A4B"/>
    <w:rsid w:val="485729EF"/>
    <w:rsid w:val="48577262"/>
    <w:rsid w:val="48580B2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D5C22"/>
    <w:rsid w:val="4B696347"/>
    <w:rsid w:val="4BCC712C"/>
    <w:rsid w:val="4BE04095"/>
    <w:rsid w:val="4C175F49"/>
    <w:rsid w:val="4C1939EB"/>
    <w:rsid w:val="4C3E35AF"/>
    <w:rsid w:val="4C8B4A7C"/>
    <w:rsid w:val="4C9A568F"/>
    <w:rsid w:val="4CC753A6"/>
    <w:rsid w:val="4CCD1B48"/>
    <w:rsid w:val="4CD2174C"/>
    <w:rsid w:val="4CF25610"/>
    <w:rsid w:val="4CFC368B"/>
    <w:rsid w:val="4D1F0B6E"/>
    <w:rsid w:val="4D431806"/>
    <w:rsid w:val="4D742CA5"/>
    <w:rsid w:val="4DD741C8"/>
    <w:rsid w:val="4E0A76AA"/>
    <w:rsid w:val="4E10100E"/>
    <w:rsid w:val="4E663032"/>
    <w:rsid w:val="4E754922"/>
    <w:rsid w:val="4E7D412D"/>
    <w:rsid w:val="4E8833F7"/>
    <w:rsid w:val="4E9F43CC"/>
    <w:rsid w:val="4EAC25AD"/>
    <w:rsid w:val="4ECC1B7A"/>
    <w:rsid w:val="4EDE3F7B"/>
    <w:rsid w:val="4EE95EB3"/>
    <w:rsid w:val="4EEB2FB4"/>
    <w:rsid w:val="4EEF3BBD"/>
    <w:rsid w:val="4EF31987"/>
    <w:rsid w:val="4F01535F"/>
    <w:rsid w:val="4F086AAF"/>
    <w:rsid w:val="4F3F6266"/>
    <w:rsid w:val="4F441003"/>
    <w:rsid w:val="4F712179"/>
    <w:rsid w:val="4F8B1E5E"/>
    <w:rsid w:val="4FAE0E1F"/>
    <w:rsid w:val="4FF029D9"/>
    <w:rsid w:val="50266D9D"/>
    <w:rsid w:val="5057079F"/>
    <w:rsid w:val="5069668A"/>
    <w:rsid w:val="50740D82"/>
    <w:rsid w:val="50A83CB2"/>
    <w:rsid w:val="50AF5D81"/>
    <w:rsid w:val="50FB34D4"/>
    <w:rsid w:val="511E2E4C"/>
    <w:rsid w:val="512B42F2"/>
    <w:rsid w:val="51472A97"/>
    <w:rsid w:val="516F441B"/>
    <w:rsid w:val="516F49FF"/>
    <w:rsid w:val="51792A48"/>
    <w:rsid w:val="51A70ECF"/>
    <w:rsid w:val="51B45F41"/>
    <w:rsid w:val="51F3006B"/>
    <w:rsid w:val="521A0E83"/>
    <w:rsid w:val="525B595C"/>
    <w:rsid w:val="5294110C"/>
    <w:rsid w:val="529751F1"/>
    <w:rsid w:val="52B8375C"/>
    <w:rsid w:val="52C8015A"/>
    <w:rsid w:val="52D55496"/>
    <w:rsid w:val="53036181"/>
    <w:rsid w:val="532823C8"/>
    <w:rsid w:val="53383CDD"/>
    <w:rsid w:val="535933A0"/>
    <w:rsid w:val="5366514C"/>
    <w:rsid w:val="5384550C"/>
    <w:rsid w:val="538762B6"/>
    <w:rsid w:val="538E5DEC"/>
    <w:rsid w:val="53B8303B"/>
    <w:rsid w:val="53D45D64"/>
    <w:rsid w:val="53E5392D"/>
    <w:rsid w:val="5438579A"/>
    <w:rsid w:val="54491649"/>
    <w:rsid w:val="54554E92"/>
    <w:rsid w:val="547A556A"/>
    <w:rsid w:val="54AB227B"/>
    <w:rsid w:val="54B93049"/>
    <w:rsid w:val="54CE0F0D"/>
    <w:rsid w:val="551526ED"/>
    <w:rsid w:val="55225A47"/>
    <w:rsid w:val="554875B0"/>
    <w:rsid w:val="55720BED"/>
    <w:rsid w:val="557C50B8"/>
    <w:rsid w:val="55AE2147"/>
    <w:rsid w:val="55AE2352"/>
    <w:rsid w:val="56171A01"/>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F6B08"/>
    <w:rsid w:val="57CD7E64"/>
    <w:rsid w:val="57D25B71"/>
    <w:rsid w:val="57DF3A61"/>
    <w:rsid w:val="58317605"/>
    <w:rsid w:val="587D5F2C"/>
    <w:rsid w:val="587F450B"/>
    <w:rsid w:val="58963DA7"/>
    <w:rsid w:val="58A560FE"/>
    <w:rsid w:val="58A626A8"/>
    <w:rsid w:val="58DB5CD6"/>
    <w:rsid w:val="59150148"/>
    <w:rsid w:val="592C3305"/>
    <w:rsid w:val="593E4120"/>
    <w:rsid w:val="59483FC9"/>
    <w:rsid w:val="5965039F"/>
    <w:rsid w:val="597B2D6E"/>
    <w:rsid w:val="59952B83"/>
    <w:rsid w:val="59B3789C"/>
    <w:rsid w:val="5A2C7551"/>
    <w:rsid w:val="5A2F159C"/>
    <w:rsid w:val="5A400720"/>
    <w:rsid w:val="5A447434"/>
    <w:rsid w:val="5A780F5E"/>
    <w:rsid w:val="5A9D12B3"/>
    <w:rsid w:val="5AB9364D"/>
    <w:rsid w:val="5B0303FE"/>
    <w:rsid w:val="5B505934"/>
    <w:rsid w:val="5BB02387"/>
    <w:rsid w:val="5BB52F7D"/>
    <w:rsid w:val="5BBE79C0"/>
    <w:rsid w:val="5BE0261C"/>
    <w:rsid w:val="5BF24800"/>
    <w:rsid w:val="5C08655C"/>
    <w:rsid w:val="5C357B5F"/>
    <w:rsid w:val="5C4521B0"/>
    <w:rsid w:val="5C473309"/>
    <w:rsid w:val="5C4926FF"/>
    <w:rsid w:val="5C9307FB"/>
    <w:rsid w:val="5C9F44C2"/>
    <w:rsid w:val="5CB93195"/>
    <w:rsid w:val="5CC41D80"/>
    <w:rsid w:val="5CCF3B1A"/>
    <w:rsid w:val="5CD4601F"/>
    <w:rsid w:val="5CDD69F5"/>
    <w:rsid w:val="5CF22878"/>
    <w:rsid w:val="5CF4139A"/>
    <w:rsid w:val="5CF81A09"/>
    <w:rsid w:val="5D006C95"/>
    <w:rsid w:val="5D24117B"/>
    <w:rsid w:val="5D3E33D2"/>
    <w:rsid w:val="5D693C9C"/>
    <w:rsid w:val="5DE973D6"/>
    <w:rsid w:val="5E484E95"/>
    <w:rsid w:val="5E546A76"/>
    <w:rsid w:val="5E5A23F4"/>
    <w:rsid w:val="5E742333"/>
    <w:rsid w:val="5E8D2D21"/>
    <w:rsid w:val="5E9F118A"/>
    <w:rsid w:val="5EBD1212"/>
    <w:rsid w:val="5ED36964"/>
    <w:rsid w:val="5ED60EED"/>
    <w:rsid w:val="5EFE0496"/>
    <w:rsid w:val="5F0A527B"/>
    <w:rsid w:val="5F255BC5"/>
    <w:rsid w:val="5F3529FD"/>
    <w:rsid w:val="5F3F339D"/>
    <w:rsid w:val="5F51476F"/>
    <w:rsid w:val="5F572A2B"/>
    <w:rsid w:val="5F656444"/>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12C0778"/>
    <w:rsid w:val="615208C7"/>
    <w:rsid w:val="61537EE4"/>
    <w:rsid w:val="616B54C8"/>
    <w:rsid w:val="61702C98"/>
    <w:rsid w:val="61963A72"/>
    <w:rsid w:val="61BA4586"/>
    <w:rsid w:val="61D11AE4"/>
    <w:rsid w:val="61E237F8"/>
    <w:rsid w:val="62020579"/>
    <w:rsid w:val="621C0B76"/>
    <w:rsid w:val="623F329A"/>
    <w:rsid w:val="624C1628"/>
    <w:rsid w:val="626601FE"/>
    <w:rsid w:val="62695E27"/>
    <w:rsid w:val="626E166E"/>
    <w:rsid w:val="627C1C65"/>
    <w:rsid w:val="628242DE"/>
    <w:rsid w:val="62901C12"/>
    <w:rsid w:val="62D37EDE"/>
    <w:rsid w:val="62DC4FFE"/>
    <w:rsid w:val="62F32006"/>
    <w:rsid w:val="635244EA"/>
    <w:rsid w:val="635252D3"/>
    <w:rsid w:val="636127C3"/>
    <w:rsid w:val="63D736B7"/>
    <w:rsid w:val="63F5222D"/>
    <w:rsid w:val="64684FF6"/>
    <w:rsid w:val="646D7F47"/>
    <w:rsid w:val="64E3778E"/>
    <w:rsid w:val="64F87681"/>
    <w:rsid w:val="65016282"/>
    <w:rsid w:val="652E4984"/>
    <w:rsid w:val="6541100E"/>
    <w:rsid w:val="654C0BA8"/>
    <w:rsid w:val="65723276"/>
    <w:rsid w:val="65894ACB"/>
    <w:rsid w:val="65B601CD"/>
    <w:rsid w:val="65C57730"/>
    <w:rsid w:val="65D03A9D"/>
    <w:rsid w:val="66113182"/>
    <w:rsid w:val="664352EB"/>
    <w:rsid w:val="666D4FDC"/>
    <w:rsid w:val="66731291"/>
    <w:rsid w:val="667A0273"/>
    <w:rsid w:val="66903901"/>
    <w:rsid w:val="66C344E7"/>
    <w:rsid w:val="66F07010"/>
    <w:rsid w:val="66F7316A"/>
    <w:rsid w:val="66FC73C9"/>
    <w:rsid w:val="672079BD"/>
    <w:rsid w:val="67253AE9"/>
    <w:rsid w:val="674421AD"/>
    <w:rsid w:val="67E02C36"/>
    <w:rsid w:val="67E85D1C"/>
    <w:rsid w:val="68235D74"/>
    <w:rsid w:val="683E7EE4"/>
    <w:rsid w:val="68517653"/>
    <w:rsid w:val="68B712D5"/>
    <w:rsid w:val="68C65C0A"/>
    <w:rsid w:val="68E12ED2"/>
    <w:rsid w:val="68FD4084"/>
    <w:rsid w:val="69321393"/>
    <w:rsid w:val="693A4C13"/>
    <w:rsid w:val="696610E4"/>
    <w:rsid w:val="69A60F1E"/>
    <w:rsid w:val="69B2588C"/>
    <w:rsid w:val="69DC5F48"/>
    <w:rsid w:val="6A483248"/>
    <w:rsid w:val="6A6D75CE"/>
    <w:rsid w:val="6A83721D"/>
    <w:rsid w:val="6AA2282C"/>
    <w:rsid w:val="6AAA5C1D"/>
    <w:rsid w:val="6AB03EB2"/>
    <w:rsid w:val="6AD20623"/>
    <w:rsid w:val="6AE21101"/>
    <w:rsid w:val="6B4340D5"/>
    <w:rsid w:val="6B4F3B9E"/>
    <w:rsid w:val="6B893A4B"/>
    <w:rsid w:val="6BC12704"/>
    <w:rsid w:val="6BD63153"/>
    <w:rsid w:val="6BE960BC"/>
    <w:rsid w:val="6BEA3CBA"/>
    <w:rsid w:val="6C0F488B"/>
    <w:rsid w:val="6C5B55DC"/>
    <w:rsid w:val="6C5D6BCE"/>
    <w:rsid w:val="6C845EBC"/>
    <w:rsid w:val="6CAE03DD"/>
    <w:rsid w:val="6CE262A4"/>
    <w:rsid w:val="6CE56E6B"/>
    <w:rsid w:val="6CE6359C"/>
    <w:rsid w:val="6D032DAA"/>
    <w:rsid w:val="6D1A704D"/>
    <w:rsid w:val="6D1E66A9"/>
    <w:rsid w:val="6D506D1C"/>
    <w:rsid w:val="6D61192D"/>
    <w:rsid w:val="6D675F3C"/>
    <w:rsid w:val="6D6C1DD5"/>
    <w:rsid w:val="6D7446CC"/>
    <w:rsid w:val="6D7521FE"/>
    <w:rsid w:val="6D88011E"/>
    <w:rsid w:val="6D8A298C"/>
    <w:rsid w:val="6D965EA7"/>
    <w:rsid w:val="6DB35DAA"/>
    <w:rsid w:val="6DED206F"/>
    <w:rsid w:val="6DED3862"/>
    <w:rsid w:val="6E005A26"/>
    <w:rsid w:val="6E327B63"/>
    <w:rsid w:val="6E6329C5"/>
    <w:rsid w:val="6E690D37"/>
    <w:rsid w:val="6E6D7744"/>
    <w:rsid w:val="6E7F7DE4"/>
    <w:rsid w:val="6EAC616D"/>
    <w:rsid w:val="6EF26E02"/>
    <w:rsid w:val="6EFF345A"/>
    <w:rsid w:val="6F064842"/>
    <w:rsid w:val="6F0E41D6"/>
    <w:rsid w:val="6F545FAB"/>
    <w:rsid w:val="6F8314B0"/>
    <w:rsid w:val="6F9305DF"/>
    <w:rsid w:val="6F9754E6"/>
    <w:rsid w:val="6FB4540B"/>
    <w:rsid w:val="6FCE67A2"/>
    <w:rsid w:val="6FF02DD6"/>
    <w:rsid w:val="6FF158D8"/>
    <w:rsid w:val="70105F1E"/>
    <w:rsid w:val="701D50DA"/>
    <w:rsid w:val="7060771A"/>
    <w:rsid w:val="707444CE"/>
    <w:rsid w:val="70836D22"/>
    <w:rsid w:val="70871F10"/>
    <w:rsid w:val="70876740"/>
    <w:rsid w:val="70B6015D"/>
    <w:rsid w:val="70C73255"/>
    <w:rsid w:val="70D304FC"/>
    <w:rsid w:val="70ED7E08"/>
    <w:rsid w:val="712E196D"/>
    <w:rsid w:val="714A6A1D"/>
    <w:rsid w:val="71610FBE"/>
    <w:rsid w:val="716A3DF9"/>
    <w:rsid w:val="716A3EDF"/>
    <w:rsid w:val="71A54FE2"/>
    <w:rsid w:val="71AD3163"/>
    <w:rsid w:val="71B473FD"/>
    <w:rsid w:val="71D20C99"/>
    <w:rsid w:val="71DA714C"/>
    <w:rsid w:val="71DB7C23"/>
    <w:rsid w:val="71EF33B7"/>
    <w:rsid w:val="725008FF"/>
    <w:rsid w:val="726B0346"/>
    <w:rsid w:val="72714091"/>
    <w:rsid w:val="72760778"/>
    <w:rsid w:val="729B16F3"/>
    <w:rsid w:val="72A07888"/>
    <w:rsid w:val="72D249CB"/>
    <w:rsid w:val="72D87685"/>
    <w:rsid w:val="72F172BF"/>
    <w:rsid w:val="7304482B"/>
    <w:rsid w:val="7344181A"/>
    <w:rsid w:val="735352FB"/>
    <w:rsid w:val="735B4A8E"/>
    <w:rsid w:val="736A1703"/>
    <w:rsid w:val="736D1458"/>
    <w:rsid w:val="737253F1"/>
    <w:rsid w:val="73806CBB"/>
    <w:rsid w:val="73A277FF"/>
    <w:rsid w:val="73B81E4C"/>
    <w:rsid w:val="73C0168D"/>
    <w:rsid w:val="73CD3976"/>
    <w:rsid w:val="73D8748B"/>
    <w:rsid w:val="73E02D1E"/>
    <w:rsid w:val="74034FF8"/>
    <w:rsid w:val="743104E3"/>
    <w:rsid w:val="74320C3C"/>
    <w:rsid w:val="74406823"/>
    <w:rsid w:val="74513162"/>
    <w:rsid w:val="74615626"/>
    <w:rsid w:val="746D771A"/>
    <w:rsid w:val="74CC6413"/>
    <w:rsid w:val="74DE741F"/>
    <w:rsid w:val="74F0095C"/>
    <w:rsid w:val="75251AAA"/>
    <w:rsid w:val="75431AF8"/>
    <w:rsid w:val="75722CA5"/>
    <w:rsid w:val="757B75BC"/>
    <w:rsid w:val="75892BAD"/>
    <w:rsid w:val="761B6BE8"/>
    <w:rsid w:val="76236EB2"/>
    <w:rsid w:val="762605C8"/>
    <w:rsid w:val="76406925"/>
    <w:rsid w:val="76893B07"/>
    <w:rsid w:val="76A665D3"/>
    <w:rsid w:val="76AA65FC"/>
    <w:rsid w:val="76AE5F7B"/>
    <w:rsid w:val="76B463AC"/>
    <w:rsid w:val="76D42F34"/>
    <w:rsid w:val="76F92B8E"/>
    <w:rsid w:val="76FA73DD"/>
    <w:rsid w:val="774909FB"/>
    <w:rsid w:val="77676789"/>
    <w:rsid w:val="7774006F"/>
    <w:rsid w:val="777D5C41"/>
    <w:rsid w:val="778F57A9"/>
    <w:rsid w:val="77AE5C93"/>
    <w:rsid w:val="77C345AE"/>
    <w:rsid w:val="77D87C21"/>
    <w:rsid w:val="77ED577F"/>
    <w:rsid w:val="78214863"/>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54586F"/>
    <w:rsid w:val="7A621A00"/>
    <w:rsid w:val="7A7B4401"/>
    <w:rsid w:val="7A905081"/>
    <w:rsid w:val="7ACB66ED"/>
    <w:rsid w:val="7AEF7305"/>
    <w:rsid w:val="7B3E0A41"/>
    <w:rsid w:val="7B6C46EB"/>
    <w:rsid w:val="7BB3045A"/>
    <w:rsid w:val="7BC53962"/>
    <w:rsid w:val="7C323980"/>
    <w:rsid w:val="7C8A30E5"/>
    <w:rsid w:val="7CDB3559"/>
    <w:rsid w:val="7CE97D7C"/>
    <w:rsid w:val="7CF14E85"/>
    <w:rsid w:val="7CF30B51"/>
    <w:rsid w:val="7D315305"/>
    <w:rsid w:val="7D4F613C"/>
    <w:rsid w:val="7D543CAC"/>
    <w:rsid w:val="7D6F6D36"/>
    <w:rsid w:val="7D995DB5"/>
    <w:rsid w:val="7DBA04C7"/>
    <w:rsid w:val="7DE8565F"/>
    <w:rsid w:val="7E087602"/>
    <w:rsid w:val="7E1B4D57"/>
    <w:rsid w:val="7E2722FF"/>
    <w:rsid w:val="7E316FA8"/>
    <w:rsid w:val="7E3B6646"/>
    <w:rsid w:val="7E400B6D"/>
    <w:rsid w:val="7E456F3D"/>
    <w:rsid w:val="7E543DFE"/>
    <w:rsid w:val="7E561B5A"/>
    <w:rsid w:val="7E745CBB"/>
    <w:rsid w:val="7E7C58DC"/>
    <w:rsid w:val="7EAB1865"/>
    <w:rsid w:val="7EC12F48"/>
    <w:rsid w:val="7ED61BCF"/>
    <w:rsid w:val="7EE919FF"/>
    <w:rsid w:val="7F0441A9"/>
    <w:rsid w:val="7F0C441B"/>
    <w:rsid w:val="7F13569D"/>
    <w:rsid w:val="7F58120E"/>
    <w:rsid w:val="7F653518"/>
    <w:rsid w:val="7F9F6DBE"/>
    <w:rsid w:val="7FB87EFF"/>
    <w:rsid w:val="7FD01879"/>
    <w:rsid w:val="7FE63412"/>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paragraph" w:styleId="5">
    <w:name w:val="heading 3"/>
    <w:basedOn w:val="1"/>
    <w:next w:val="1"/>
    <w:link w:val="22"/>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3"/>
    <w:qFormat/>
    <w:uiPriority w:val="99"/>
    <w:pPr>
      <w:spacing w:after="120"/>
    </w:pPr>
  </w:style>
  <w:style w:type="paragraph" w:styleId="3">
    <w:name w:val="Body Text First Indent"/>
    <w:basedOn w:val="2"/>
    <w:link w:val="24"/>
    <w:qFormat/>
    <w:uiPriority w:val="0"/>
    <w:pPr>
      <w:widowControl/>
      <w:ind w:firstLine="420" w:firstLineChars="100"/>
    </w:pPr>
    <w:rPr>
      <w:rFonts w:ascii="Calibri" w:hAnsi="Calibri" w:cs="宋体"/>
      <w:szCs w:val="22"/>
    </w:rPr>
  </w:style>
  <w:style w:type="paragraph" w:styleId="6">
    <w:name w:val="Document Map"/>
    <w:basedOn w:val="1"/>
    <w:link w:val="29"/>
    <w:qFormat/>
    <w:uiPriority w:val="99"/>
    <w:rPr>
      <w:rFonts w:ascii="宋体"/>
      <w:sz w:val="18"/>
      <w:szCs w:val="18"/>
    </w:rPr>
  </w:style>
  <w:style w:type="paragraph" w:styleId="7">
    <w:name w:val="annotation text"/>
    <w:basedOn w:val="1"/>
    <w:link w:val="32"/>
    <w:qFormat/>
    <w:uiPriority w:val="99"/>
    <w:pPr>
      <w:jc w:val="left"/>
    </w:pPr>
  </w:style>
  <w:style w:type="paragraph" w:styleId="8">
    <w:name w:val="Body Text Indent"/>
    <w:basedOn w:val="1"/>
    <w:next w:val="1"/>
    <w:qFormat/>
    <w:uiPriority w:val="0"/>
    <w:pPr>
      <w:spacing w:line="520" w:lineRule="exact"/>
      <w:ind w:left="570"/>
    </w:pPr>
    <w:rPr>
      <w:rFonts w:ascii="方正仿宋简体" w:hAnsi="创艺简仿宋" w:eastAsia="方正仿宋简体"/>
      <w:sz w:val="24"/>
    </w:rPr>
  </w:style>
  <w:style w:type="paragraph" w:styleId="9">
    <w:name w:val="Balloon Text"/>
    <w:basedOn w:val="1"/>
    <w:link w:val="27"/>
    <w:qFormat/>
    <w:uiPriority w:val="99"/>
    <w:rPr>
      <w:sz w:val="18"/>
      <w:szCs w:val="18"/>
    </w:rPr>
  </w:style>
  <w:style w:type="paragraph" w:styleId="10">
    <w:name w:val="footer"/>
    <w:basedOn w:val="1"/>
    <w:link w:val="26"/>
    <w:qFormat/>
    <w:uiPriority w:val="99"/>
    <w:pPr>
      <w:tabs>
        <w:tab w:val="center" w:pos="4153"/>
        <w:tab w:val="right" w:pos="8306"/>
      </w:tabs>
      <w:snapToGrid w:val="0"/>
      <w:jc w:val="left"/>
    </w:pPr>
    <w:rPr>
      <w:sz w:val="18"/>
      <w:szCs w:val="18"/>
    </w:rPr>
  </w:style>
  <w:style w:type="paragraph" w:styleId="11">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spacing w:beforeAutospacing="1" w:afterAutospacing="1"/>
      <w:jc w:val="left"/>
    </w:pPr>
    <w:rPr>
      <w:rFonts w:asciiTheme="minorHAnsi" w:hAnsiTheme="minorHAnsi" w:eastAsiaTheme="minorEastAsia"/>
      <w:kern w:val="0"/>
      <w:sz w:val="24"/>
      <w:szCs w:val="24"/>
    </w:rPr>
  </w:style>
  <w:style w:type="paragraph" w:styleId="13">
    <w:name w:val="annotation subject"/>
    <w:basedOn w:val="7"/>
    <w:next w:val="7"/>
    <w:link w:val="35"/>
    <w:unhideWhenUsed/>
    <w:qFormat/>
    <w:uiPriority w:val="99"/>
    <w:rPr>
      <w:b/>
      <w:bCs/>
    </w:rPr>
  </w:style>
  <w:style w:type="paragraph" w:styleId="14">
    <w:name w:val="Body Text First Indent 2"/>
    <w:basedOn w:val="8"/>
    <w:qFormat/>
    <w:uiPriority w:val="0"/>
    <w:pPr>
      <w:spacing w:after="120" w:line="240" w:lineRule="auto"/>
      <w:ind w:left="420" w:leftChars="200" w:firstLine="420"/>
    </w:pPr>
    <w:rPr>
      <w:sz w:val="21"/>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styleId="19">
    <w:name w:val="annotation reference"/>
    <w:basedOn w:val="17"/>
    <w:qFormat/>
    <w:uiPriority w:val="99"/>
    <w:rPr>
      <w:sz w:val="21"/>
      <w:szCs w:val="21"/>
    </w:rPr>
  </w:style>
  <w:style w:type="character" w:customStyle="1" w:styleId="20">
    <w:name w:val="正文缩进2格 Char"/>
    <w:link w:val="21"/>
    <w:qFormat/>
    <w:uiPriority w:val="0"/>
    <w:rPr>
      <w:rFonts w:ascii="仿宋_GB2312" w:hAnsi="宋体" w:eastAsia="仿宋_GB2312" w:cs="仿宋_GB2312"/>
      <w:sz w:val="31"/>
      <w:szCs w:val="31"/>
    </w:rPr>
  </w:style>
  <w:style w:type="paragraph" w:customStyle="1" w:styleId="21">
    <w:name w:val="正文缩进2格"/>
    <w:basedOn w:val="1"/>
    <w:link w:val="20"/>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5"/>
    <w:qFormat/>
    <w:uiPriority w:val="0"/>
    <w:rPr>
      <w:rFonts w:eastAsia="宋体"/>
      <w:b/>
      <w:sz w:val="32"/>
    </w:rPr>
  </w:style>
  <w:style w:type="character" w:customStyle="1" w:styleId="23">
    <w:name w:val="正文文本 字符"/>
    <w:basedOn w:val="17"/>
    <w:link w:val="2"/>
    <w:qFormat/>
    <w:uiPriority w:val="99"/>
    <w:rPr>
      <w:rFonts w:ascii="Times New Roman" w:hAnsi="Times New Roman" w:eastAsia="宋体" w:cs="Times New Roman"/>
      <w:szCs w:val="20"/>
    </w:rPr>
  </w:style>
  <w:style w:type="character" w:customStyle="1" w:styleId="24">
    <w:name w:val="正文文本首行缩进 字符"/>
    <w:basedOn w:val="23"/>
    <w:link w:val="3"/>
    <w:qFormat/>
    <w:uiPriority w:val="0"/>
    <w:rPr>
      <w:rFonts w:ascii="Times New Roman" w:hAnsi="Times New Roman" w:eastAsia="宋体" w:cs="Times New Roman"/>
      <w:szCs w:val="20"/>
    </w:rPr>
  </w:style>
  <w:style w:type="character" w:customStyle="1" w:styleId="25">
    <w:name w:val="页眉 字符"/>
    <w:basedOn w:val="17"/>
    <w:link w:val="11"/>
    <w:qFormat/>
    <w:uiPriority w:val="99"/>
    <w:rPr>
      <w:rFonts w:ascii="Times New Roman" w:hAnsi="Times New Roman" w:eastAsia="宋体" w:cs="Times New Roman"/>
      <w:sz w:val="18"/>
      <w:szCs w:val="18"/>
    </w:rPr>
  </w:style>
  <w:style w:type="character" w:customStyle="1" w:styleId="26">
    <w:name w:val="页脚 字符"/>
    <w:basedOn w:val="17"/>
    <w:link w:val="10"/>
    <w:qFormat/>
    <w:uiPriority w:val="99"/>
    <w:rPr>
      <w:rFonts w:ascii="Times New Roman" w:hAnsi="Times New Roman" w:eastAsia="宋体" w:cs="Times New Roman"/>
      <w:sz w:val="18"/>
      <w:szCs w:val="18"/>
    </w:rPr>
  </w:style>
  <w:style w:type="character" w:customStyle="1" w:styleId="27">
    <w:name w:val="批注框文本 字符"/>
    <w:basedOn w:val="17"/>
    <w:link w:val="9"/>
    <w:qFormat/>
    <w:uiPriority w:val="99"/>
    <w:rPr>
      <w:rFonts w:ascii="Times New Roman" w:hAnsi="Times New Roman" w:eastAsia="宋体" w:cs="Times New Roman"/>
      <w:kern w:val="2"/>
      <w:sz w:val="18"/>
      <w:szCs w:val="18"/>
    </w:rPr>
  </w:style>
  <w:style w:type="paragraph" w:customStyle="1" w:styleId="28">
    <w:name w:val="列出段落1"/>
    <w:basedOn w:val="1"/>
    <w:qFormat/>
    <w:uiPriority w:val="0"/>
    <w:pPr>
      <w:ind w:firstLine="420" w:firstLineChars="200"/>
    </w:pPr>
  </w:style>
  <w:style w:type="character" w:customStyle="1" w:styleId="29">
    <w:name w:val="文档结构图 字符"/>
    <w:basedOn w:val="17"/>
    <w:link w:val="6"/>
    <w:qFormat/>
    <w:uiPriority w:val="99"/>
    <w:rPr>
      <w:rFonts w:ascii="宋体" w:hAnsi="Times New Roman" w:eastAsia="宋体" w:cs="Times New Roman"/>
      <w:kern w:val="2"/>
      <w:sz w:val="18"/>
      <w:szCs w:val="18"/>
    </w:rPr>
  </w:style>
  <w:style w:type="paragraph" w:customStyle="1" w:styleId="30">
    <w:name w:val="列出段落2"/>
    <w:basedOn w:val="1"/>
    <w:qFormat/>
    <w:uiPriority w:val="99"/>
    <w:pPr>
      <w:ind w:firstLine="420" w:firstLineChars="200"/>
    </w:pPr>
  </w:style>
  <w:style w:type="paragraph" w:customStyle="1" w:styleId="31">
    <w:name w:val="列表段落1"/>
    <w:basedOn w:val="1"/>
    <w:qFormat/>
    <w:uiPriority w:val="34"/>
    <w:pPr>
      <w:ind w:firstLine="420" w:firstLineChars="200"/>
    </w:pPr>
  </w:style>
  <w:style w:type="character" w:customStyle="1" w:styleId="32">
    <w:name w:val="批注文字 字符"/>
    <w:basedOn w:val="17"/>
    <w:link w:val="7"/>
    <w:qFormat/>
    <w:uiPriority w:val="99"/>
    <w:rPr>
      <w:rFonts w:ascii="Times New Roman" w:hAnsi="Times New Roman" w:cs="Times New Roman"/>
      <w:kern w:val="2"/>
      <w:sz w:val="21"/>
    </w:rPr>
  </w:style>
  <w:style w:type="character" w:customStyle="1" w:styleId="33">
    <w:name w:val="fontstyle01"/>
    <w:basedOn w:val="17"/>
    <w:qFormat/>
    <w:uiPriority w:val="0"/>
    <w:rPr>
      <w:rFonts w:hint="eastAsia" w:ascii="仿宋" w:hAnsi="仿宋" w:eastAsia="仿宋"/>
      <w:color w:val="000000"/>
      <w:sz w:val="28"/>
      <w:szCs w:val="28"/>
    </w:rPr>
  </w:style>
  <w:style w:type="paragraph" w:customStyle="1" w:styleId="34">
    <w:name w:val="修订1"/>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3"/>
    <w:semiHidden/>
    <w:qFormat/>
    <w:uiPriority w:val="99"/>
    <w:rPr>
      <w:rFonts w:ascii="Times New Roman" w:hAnsi="Times New Roman" w:eastAsia="宋体" w:cs="Times New Roman"/>
      <w:b/>
      <w:bCs/>
      <w:kern w:val="2"/>
      <w:sz w:val="21"/>
    </w:rPr>
  </w:style>
  <w:style w:type="paragraph" w:styleId="36">
    <w:name w:val="List Paragraph"/>
    <w:basedOn w:val="1"/>
    <w:qFormat/>
    <w:uiPriority w:val="34"/>
    <w:pPr>
      <w:ind w:firstLine="420" w:firstLineChars="200"/>
    </w:pPr>
  </w:style>
  <w:style w:type="table" w:customStyle="1" w:styleId="37">
    <w:name w:val="网格表 6 彩色 - 着色 61"/>
    <w:basedOn w:val="15"/>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qFormat/>
    <w:uiPriority w:val="0"/>
    <w:pPr>
      <w:ind w:firstLine="420" w:firstLineChars="200"/>
    </w:pPr>
    <w:rPr>
      <w:rFonts w:ascii="Calibri" w:hAnsi="Calibri"/>
      <w:szCs w:val="24"/>
    </w:rPr>
  </w:style>
  <w:style w:type="character" w:customStyle="1" w:styleId="39">
    <w:name w:val="未处理的提及1"/>
    <w:basedOn w:val="17"/>
    <w:semiHidden/>
    <w:unhideWhenUsed/>
    <w:qFormat/>
    <w:uiPriority w:val="99"/>
    <w:rPr>
      <w:color w:val="605E5C"/>
      <w:shd w:val="clear" w:color="auto" w:fill="E1DFDD"/>
    </w:rPr>
  </w:style>
  <w:style w:type="character" w:customStyle="1" w:styleId="40">
    <w:name w:val="未处理的提及2"/>
    <w:basedOn w:val="17"/>
    <w:semiHidden/>
    <w:unhideWhenUsed/>
    <w:qFormat/>
    <w:uiPriority w:val="99"/>
    <w:rPr>
      <w:color w:val="605E5C"/>
      <w:shd w:val="clear" w:color="auto" w:fill="E1DFDD"/>
    </w:rPr>
  </w:style>
  <w:style w:type="paragraph" w:customStyle="1" w:styleId="41">
    <w:name w:val="修订2"/>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qFormat/>
    <w:uiPriority w:val="0"/>
    <w:rPr>
      <w:rFonts w:hint="eastAsia" w:ascii="宋体" w:hAnsi="宋体" w:eastAsia="宋体" w:cs="宋体"/>
      <w:color w:val="000000"/>
      <w:sz w:val="16"/>
      <w:szCs w:val="16"/>
      <w:u w:val="none"/>
    </w:rPr>
  </w:style>
  <w:style w:type="character" w:customStyle="1" w:styleId="43">
    <w:name w:val="font81"/>
    <w:basedOn w:val="17"/>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qFormat/>
    <w:uiPriority w:val="0"/>
    <w:rPr>
      <w:rFonts w:hint="eastAsia" w:ascii="宋体" w:hAnsi="宋体" w:eastAsia="宋体" w:cs="宋体"/>
      <w:color w:val="000000"/>
      <w:sz w:val="16"/>
      <w:szCs w:val="16"/>
      <w:u w:val="none"/>
    </w:rPr>
  </w:style>
  <w:style w:type="character" w:customStyle="1" w:styleId="45">
    <w:name w:val="font51"/>
    <w:basedOn w:val="17"/>
    <w:qFormat/>
    <w:uiPriority w:val="0"/>
    <w:rPr>
      <w:rFonts w:hint="eastAsia" w:ascii="宋体" w:hAnsi="宋体" w:eastAsia="宋体" w:cs="宋体"/>
      <w:color w:val="000000"/>
      <w:sz w:val="22"/>
      <w:szCs w:val="22"/>
      <w:u w:val="none"/>
    </w:rPr>
  </w:style>
  <w:style w:type="character" w:customStyle="1" w:styleId="46">
    <w:name w:val="font121"/>
    <w:basedOn w:val="17"/>
    <w:qFormat/>
    <w:uiPriority w:val="0"/>
    <w:rPr>
      <w:rFonts w:hint="eastAsia" w:ascii="宋体" w:hAnsi="宋体" w:eastAsia="宋体" w:cs="宋体"/>
      <w:color w:val="000000"/>
      <w:sz w:val="16"/>
      <w:szCs w:val="16"/>
      <w:u w:val="none"/>
    </w:rPr>
  </w:style>
  <w:style w:type="character" w:customStyle="1" w:styleId="47">
    <w:name w:val="font131"/>
    <w:basedOn w:val="17"/>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qFormat/>
    <w:uiPriority w:val="0"/>
    <w:rPr>
      <w:rFonts w:hint="eastAsia" w:ascii="仿宋" w:hAnsi="仿宋" w:eastAsia="仿宋" w:cs="仿宋"/>
      <w:color w:val="000000"/>
      <w:sz w:val="22"/>
      <w:szCs w:val="22"/>
      <w:u w:val="none"/>
    </w:rPr>
  </w:style>
  <w:style w:type="character" w:customStyle="1" w:styleId="49">
    <w:name w:val="font141"/>
    <w:basedOn w:val="17"/>
    <w:qFormat/>
    <w:uiPriority w:val="0"/>
    <w:rPr>
      <w:rFonts w:ascii="微软雅黑" w:hAnsi="微软雅黑" w:eastAsia="微软雅黑" w:cs="微软雅黑"/>
      <w:color w:val="000000"/>
      <w:sz w:val="22"/>
      <w:szCs w:val="22"/>
      <w:u w:val="none"/>
    </w:rPr>
  </w:style>
  <w:style w:type="character" w:customStyle="1" w:styleId="50">
    <w:name w:val="font21"/>
    <w:basedOn w:val="17"/>
    <w:qFormat/>
    <w:uiPriority w:val="0"/>
    <w:rPr>
      <w:rFonts w:hint="eastAsia" w:ascii="宋体" w:hAnsi="宋体" w:eastAsia="宋体" w:cs="宋体"/>
      <w:color w:val="000000"/>
      <w:sz w:val="22"/>
      <w:szCs w:val="22"/>
      <w:u w:val="none"/>
    </w:rPr>
  </w:style>
  <w:style w:type="character" w:customStyle="1" w:styleId="51">
    <w:name w:val="font31"/>
    <w:basedOn w:val="17"/>
    <w:qFormat/>
    <w:uiPriority w:val="0"/>
    <w:rPr>
      <w:rFonts w:hint="default" w:ascii="Times New Roman" w:hAnsi="Times New Roman" w:cs="Times New Roman"/>
      <w:color w:val="000000"/>
      <w:sz w:val="22"/>
      <w:szCs w:val="22"/>
      <w:u w:val="none"/>
    </w:rPr>
  </w:style>
  <w:style w:type="character" w:customStyle="1" w:styleId="52">
    <w:name w:val="font11"/>
    <w:basedOn w:val="17"/>
    <w:qFormat/>
    <w:uiPriority w:val="0"/>
    <w:rPr>
      <w:rFonts w:hint="eastAsia" w:ascii="宋体" w:hAnsi="宋体" w:eastAsia="宋体" w:cs="宋体"/>
      <w:color w:val="000000"/>
      <w:sz w:val="22"/>
      <w:szCs w:val="22"/>
      <w:u w:val="none"/>
    </w:rPr>
  </w:style>
  <w:style w:type="character" w:customStyle="1" w:styleId="53">
    <w:name w:val="font41"/>
    <w:basedOn w:val="17"/>
    <w:qFormat/>
    <w:uiPriority w:val="0"/>
    <w:rPr>
      <w:rFonts w:hint="default" w:ascii="Times New Roman" w:hAnsi="Times New Roman" w:cs="Times New Roman"/>
      <w:color w:val="000000"/>
      <w:sz w:val="22"/>
      <w:szCs w:val="22"/>
      <w:u w:val="none"/>
    </w:rPr>
  </w:style>
  <w:style w:type="character" w:customStyle="1" w:styleId="54">
    <w:name w:val="font71"/>
    <w:basedOn w:val="17"/>
    <w:qFormat/>
    <w:uiPriority w:val="0"/>
    <w:rPr>
      <w:rFonts w:hint="eastAsia" w:ascii="宋体" w:hAnsi="宋体" w:eastAsia="宋体" w:cs="宋体"/>
      <w:b/>
      <w:color w:val="000000"/>
      <w:sz w:val="22"/>
      <w:szCs w:val="22"/>
      <w:u w:val="none"/>
    </w:rPr>
  </w:style>
  <w:style w:type="character" w:customStyle="1" w:styleId="55">
    <w:name w:val="font91"/>
    <w:basedOn w:val="17"/>
    <w:qFormat/>
    <w:uiPriority w:val="0"/>
    <w:rPr>
      <w:rFonts w:hint="eastAsia" w:ascii="宋体" w:hAnsi="宋体" w:eastAsia="宋体" w:cs="宋体"/>
      <w:color w:val="000000"/>
      <w:sz w:val="22"/>
      <w:szCs w:val="22"/>
      <w:u w:val="none"/>
    </w:rPr>
  </w:style>
  <w:style w:type="character" w:customStyle="1" w:styleId="56">
    <w:name w:val="font61"/>
    <w:basedOn w:val="17"/>
    <w:qFormat/>
    <w:uiPriority w:val="0"/>
    <w:rPr>
      <w:rFonts w:hint="eastAsia" w:ascii="宋体" w:hAnsi="宋体" w:eastAsia="宋体" w:cs="宋体"/>
      <w:color w:val="000000"/>
      <w:sz w:val="22"/>
      <w:szCs w:val="22"/>
      <w:u w:val="none"/>
    </w:rPr>
  </w:style>
  <w:style w:type="character" w:customStyle="1" w:styleId="57">
    <w:name w:val="font01"/>
    <w:basedOn w:val="17"/>
    <w:qFormat/>
    <w:uiPriority w:val="0"/>
    <w:rPr>
      <w:rFonts w:hint="eastAsia" w:ascii="宋体" w:hAnsi="宋体" w:eastAsia="宋体" w:cs="宋体"/>
      <w:b/>
      <w:color w:val="000000"/>
      <w:sz w:val="22"/>
      <w:szCs w:val="22"/>
      <w:u w:val="none"/>
    </w:rPr>
  </w:style>
  <w:style w:type="paragraph" w:customStyle="1" w:styleId="58">
    <w:name w:val="WPSOffice手动目录 1"/>
    <w:qFormat/>
    <w:uiPriority w:val="0"/>
    <w:rPr>
      <w:rFonts w:ascii="Times New Roman" w:hAnsi="Times New Roman" w:eastAsia="宋体" w:cs="Times New Roman"/>
      <w:lang w:val="en-US" w:eastAsia="zh-CN" w:bidi="ar-SA"/>
    </w:rPr>
  </w:style>
  <w:style w:type="paragraph" w:customStyle="1" w:styleId="5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0">
    <w:name w:val="修订3"/>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NULL" TargetMode="Externa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06318-F17C-4EFF-AD0A-26A80AB8F53B}">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25</Pages>
  <Words>1480</Words>
  <Characters>8442</Characters>
  <Lines>70</Lines>
  <Paragraphs>19</Paragraphs>
  <TotalTime>104</TotalTime>
  <ScaleCrop>false</ScaleCrop>
  <LinksUpToDate>false</LinksUpToDate>
  <CharactersWithSpaces>9903</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Zer0°</cp:lastModifiedBy>
  <cp:lastPrinted>2023-12-07T02:44:00Z</cp:lastPrinted>
  <dcterms:modified xsi:type="dcterms:W3CDTF">2023-12-18T03:03:52Z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E47C835922EC49778CFC53ADF27BD402</vt:lpwstr>
  </property>
</Properties>
</file>