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20" w:after="120" w:line="360" w:lineRule="auto"/>
        <w:jc w:val="center"/>
        <w:rPr>
          <w:rFonts w:hint="default" w:ascii="仿宋" w:hAnsi="仿宋" w:eastAsia="仿宋"/>
          <w:sz w:val="44"/>
          <w:szCs w:val="44"/>
          <w:highlight w:val="none"/>
          <w:lang w:val="en-US" w:eastAsia="zh-CN"/>
        </w:rPr>
      </w:pPr>
      <w:r>
        <w:rPr>
          <w:rFonts w:hint="eastAsia" w:ascii="仿宋" w:hAnsi="仿宋" w:eastAsia="仿宋"/>
          <w:sz w:val="44"/>
          <w:szCs w:val="44"/>
          <w:highlight w:val="none"/>
          <w:lang w:val="en-US" w:eastAsia="zh-CN"/>
        </w:rPr>
        <w:t>采购文件</w:t>
      </w:r>
      <w:bookmarkStart w:id="57" w:name="_GoBack"/>
      <w:bookmarkEnd w:id="57"/>
    </w:p>
    <w:p>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本公司（东莞市新东</w:t>
      </w:r>
      <w:r>
        <w:rPr>
          <w:rFonts w:hint="eastAsia" w:ascii="仿宋" w:hAnsi="仿宋" w:eastAsia="仿宋"/>
          <w:sz w:val="32"/>
          <w:szCs w:val="32"/>
          <w:highlight w:val="none"/>
        </w:rPr>
        <w:t>元</w:t>
      </w:r>
      <w:r>
        <w:rPr>
          <w:rFonts w:ascii="仿宋" w:hAnsi="仿宋" w:eastAsia="仿宋"/>
          <w:sz w:val="32"/>
          <w:szCs w:val="32"/>
          <w:highlight w:val="none"/>
        </w:rPr>
        <w:t>环保投资有限公司）</w:t>
      </w:r>
      <w:r>
        <w:rPr>
          <w:rFonts w:hint="eastAsia" w:ascii="仿宋" w:hAnsi="仿宋" w:eastAsia="仿宋"/>
          <w:sz w:val="32"/>
          <w:szCs w:val="32"/>
          <w:highlight w:val="none"/>
          <w:lang w:val="en-US" w:eastAsia="zh-CN"/>
        </w:rPr>
        <w:t>因生产运营需要，</w:t>
      </w:r>
      <w:r>
        <w:rPr>
          <w:rFonts w:hint="eastAsia" w:ascii="仿宋" w:hAnsi="仿宋" w:eastAsia="仿宋"/>
          <w:sz w:val="32"/>
          <w:szCs w:val="32"/>
          <w:highlight w:val="none"/>
        </w:rPr>
        <w:t>拟采购一批生产物资，现将相关情况介绍如下：</w:t>
      </w:r>
    </w:p>
    <w:p>
      <w:pPr>
        <w:adjustRightInd w:val="0"/>
        <w:snapToGrid w:val="0"/>
        <w:spacing w:line="360" w:lineRule="auto"/>
        <w:ind w:firstLine="643" w:firstLineChars="200"/>
        <w:rPr>
          <w:rFonts w:ascii="仿宋" w:hAnsi="仿宋" w:eastAsia="仿宋"/>
          <w:b/>
          <w:bCs/>
          <w:sz w:val="32"/>
          <w:szCs w:val="32"/>
          <w:highlight w:val="none"/>
        </w:rPr>
      </w:pPr>
      <w:bookmarkStart w:id="0" w:name="_Toc18594_WPSOffice_Level1"/>
      <w:r>
        <w:rPr>
          <w:rFonts w:ascii="仿宋" w:hAnsi="仿宋" w:eastAsia="仿宋"/>
          <w:b/>
          <w:bCs/>
          <w:sz w:val="32"/>
          <w:szCs w:val="32"/>
          <w:highlight w:val="none"/>
        </w:rPr>
        <w:t>一、项目名称及内容</w:t>
      </w:r>
      <w:bookmarkEnd w:id="0"/>
    </w:p>
    <w:p>
      <w:pPr>
        <w:pStyle w:val="30"/>
        <w:spacing w:line="360" w:lineRule="auto"/>
        <w:ind w:firstLine="640"/>
        <w:outlineLvl w:val="1"/>
        <w:rPr>
          <w:rFonts w:hint="default" w:eastAsia="仿宋"/>
          <w:sz w:val="32"/>
          <w:szCs w:val="32"/>
          <w:highlight w:val="none"/>
          <w:lang w:val="en-US" w:eastAsia="zh-CN"/>
        </w:rPr>
      </w:pPr>
      <w:bookmarkStart w:id="1" w:name="_Toc12547_WPSOffice_Level1"/>
      <w:r>
        <w:rPr>
          <w:rFonts w:eastAsia="仿宋"/>
          <w:sz w:val="32"/>
          <w:szCs w:val="32"/>
          <w:highlight w:val="none"/>
        </w:rPr>
        <w:t>项目名称：</w:t>
      </w:r>
      <w:r>
        <w:rPr>
          <w:rFonts w:hint="eastAsia" w:eastAsia="仿宋"/>
          <w:sz w:val="32"/>
          <w:szCs w:val="32"/>
          <w:highlight w:val="none"/>
          <w:lang w:eastAsia="zh-CN"/>
        </w:rPr>
        <w:t>东莞市海心沙资源综合利用中心环保热电厂生产物资采购项目（第</w:t>
      </w:r>
      <w:r>
        <w:rPr>
          <w:rFonts w:hint="eastAsia" w:eastAsia="仿宋"/>
          <w:sz w:val="32"/>
          <w:szCs w:val="32"/>
          <w:highlight w:val="none"/>
          <w:lang w:val="en-US" w:eastAsia="zh-CN"/>
        </w:rPr>
        <w:t>13</w:t>
      </w:r>
      <w:r>
        <w:rPr>
          <w:rFonts w:hint="eastAsia" w:eastAsia="仿宋"/>
          <w:sz w:val="32"/>
          <w:szCs w:val="32"/>
          <w:highlight w:val="none"/>
          <w:lang w:eastAsia="zh-CN"/>
        </w:rPr>
        <w:t>批）</w:t>
      </w:r>
    </w:p>
    <w:p>
      <w:pPr>
        <w:pStyle w:val="30"/>
        <w:spacing w:line="360" w:lineRule="auto"/>
        <w:ind w:firstLine="640"/>
        <w:outlineLvl w:val="1"/>
        <w:rPr>
          <w:rFonts w:eastAsia="仿宋"/>
          <w:sz w:val="32"/>
          <w:szCs w:val="32"/>
          <w:highlight w:val="none"/>
        </w:rPr>
      </w:pPr>
      <w:r>
        <w:rPr>
          <w:rFonts w:eastAsia="仿宋"/>
          <w:sz w:val="32"/>
          <w:szCs w:val="32"/>
          <w:highlight w:val="none"/>
        </w:rPr>
        <w:t>项目内容：成交人负责提供</w:t>
      </w:r>
      <w:r>
        <w:rPr>
          <w:rFonts w:hint="eastAsia" w:eastAsia="仿宋"/>
          <w:sz w:val="32"/>
          <w:szCs w:val="32"/>
          <w:highlight w:val="none"/>
          <w:lang w:val="en-US" w:eastAsia="zh-CN"/>
        </w:rPr>
        <w:t>本项目</w:t>
      </w:r>
      <w:r>
        <w:rPr>
          <w:rFonts w:hint="eastAsia" w:eastAsia="仿宋"/>
          <w:sz w:val="32"/>
          <w:szCs w:val="32"/>
          <w:highlight w:val="none"/>
          <w:lang w:eastAsia="zh-CN"/>
        </w:rPr>
        <w:t>生产物资</w:t>
      </w:r>
      <w:r>
        <w:rPr>
          <w:rFonts w:eastAsia="仿宋"/>
          <w:sz w:val="32"/>
          <w:szCs w:val="32"/>
          <w:highlight w:val="none"/>
        </w:rPr>
        <w:t>采购、包装、保管、供货、运输、提供技术资料、质量保证及售后服务等内容。</w:t>
      </w:r>
    </w:p>
    <w:p>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二、项目概况</w:t>
      </w:r>
      <w:bookmarkEnd w:id="1"/>
    </w:p>
    <w:p>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本项目采购信息在东莞实业投资控股集团有限公司网站发布（http://www.dgsy.com.cn/）、</w:t>
      </w:r>
      <w:bookmarkStart w:id="2" w:name="_Hlk73112413"/>
      <w:r>
        <w:rPr>
          <w:rFonts w:hint="eastAsia" w:eastAsia="仿宋"/>
          <w:sz w:val="32"/>
          <w:szCs w:val="32"/>
          <w:highlight w:val="none"/>
          <w:lang w:eastAsia="zh-CN"/>
        </w:rPr>
        <w:t>广东东实环境股份有限公司</w:t>
      </w:r>
      <w:r>
        <w:rPr>
          <w:rFonts w:eastAsia="仿宋"/>
          <w:sz w:val="32"/>
          <w:szCs w:val="32"/>
          <w:highlight w:val="none"/>
        </w:rPr>
        <w:t>网站（http://www.dshuanbao.com.cn/）发布</w:t>
      </w:r>
      <w:bookmarkEnd w:id="2"/>
      <w:r>
        <w:rPr>
          <w:rFonts w:eastAsia="仿宋"/>
          <w:sz w:val="32"/>
          <w:szCs w:val="32"/>
          <w:highlight w:val="none"/>
        </w:rPr>
        <w:t>。</w:t>
      </w:r>
    </w:p>
    <w:p>
      <w:pPr>
        <w:spacing w:line="360" w:lineRule="auto"/>
        <w:ind w:firstLine="643" w:firstLineChars="200"/>
        <w:outlineLvl w:val="1"/>
        <w:rPr>
          <w:rFonts w:ascii="仿宋" w:hAnsi="仿宋" w:eastAsia="仿宋"/>
          <w:b/>
          <w:bCs/>
          <w:sz w:val="32"/>
          <w:szCs w:val="32"/>
          <w:highlight w:val="none"/>
        </w:rPr>
      </w:pPr>
      <w:bookmarkStart w:id="3" w:name="_Toc22880_WPSOffice_Level1"/>
      <w:r>
        <w:rPr>
          <w:rFonts w:ascii="仿宋" w:hAnsi="仿宋" w:eastAsia="仿宋"/>
          <w:b/>
          <w:bCs/>
          <w:sz w:val="32"/>
          <w:szCs w:val="32"/>
          <w:highlight w:val="none"/>
        </w:rPr>
        <w:t>三、</w:t>
      </w:r>
      <w:r>
        <w:rPr>
          <w:rFonts w:hint="eastAsia" w:ascii="仿宋" w:hAnsi="仿宋" w:eastAsia="仿宋"/>
          <w:b/>
          <w:bCs/>
          <w:sz w:val="32"/>
          <w:szCs w:val="32"/>
          <w:highlight w:val="none"/>
        </w:rPr>
        <w:t>报价人</w:t>
      </w:r>
      <w:r>
        <w:rPr>
          <w:rFonts w:ascii="仿宋" w:hAnsi="仿宋" w:eastAsia="仿宋"/>
          <w:b/>
          <w:bCs/>
          <w:sz w:val="32"/>
          <w:szCs w:val="32"/>
          <w:highlight w:val="none"/>
        </w:rPr>
        <w:t>资格要求</w:t>
      </w:r>
      <w:bookmarkEnd w:id="3"/>
    </w:p>
    <w:p>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1、报价人必须是具有独立承担民事责任能力的企业或事业单位法人或其它组织。</w:t>
      </w:r>
      <w:r>
        <w:rPr>
          <w:rFonts w:hint="eastAsia" w:ascii="仿宋" w:hAnsi="仿宋" w:eastAsia="仿宋"/>
          <w:sz w:val="32"/>
          <w:szCs w:val="32"/>
          <w:highlight w:val="none"/>
          <w:lang w:eastAsia="zh-CN"/>
        </w:rPr>
        <w:t>【</w:t>
      </w:r>
      <w:r>
        <w:rPr>
          <w:rFonts w:ascii="仿宋" w:hAnsi="仿宋" w:eastAsia="仿宋"/>
          <w:sz w:val="32"/>
          <w:szCs w:val="32"/>
          <w:highlight w:val="none"/>
        </w:rPr>
        <w:t>提供《营业执照》复印件（加盖公章）或《事业单位法人证书》复印件（加盖公章）或其他主体证书复印件（加盖公章）</w:t>
      </w:r>
      <w:r>
        <w:rPr>
          <w:rFonts w:hint="eastAsia" w:ascii="仿宋" w:hAnsi="仿宋" w:eastAsia="仿宋"/>
          <w:sz w:val="32"/>
          <w:szCs w:val="32"/>
          <w:highlight w:val="none"/>
          <w:lang w:eastAsia="zh-CN"/>
        </w:rPr>
        <w:t>】</w:t>
      </w:r>
    </w:p>
    <w:p>
      <w:pPr>
        <w:spacing w:line="360" w:lineRule="auto"/>
        <w:ind w:firstLine="640" w:firstLineChars="200"/>
        <w:rPr>
          <w:rFonts w:eastAsia="仿宋"/>
          <w:highlight w:val="none"/>
        </w:rPr>
      </w:pPr>
      <w:r>
        <w:rPr>
          <w:rFonts w:hint="eastAsia" w:ascii="仿宋" w:hAnsi="仿宋" w:eastAsia="仿宋"/>
          <w:sz w:val="32"/>
          <w:szCs w:val="32"/>
          <w:highlight w:val="none"/>
        </w:rPr>
        <w:t>2、报价人必须具有20</w:t>
      </w:r>
      <w:r>
        <w:rPr>
          <w:rFonts w:hint="eastAsia" w:ascii="仿宋" w:hAnsi="仿宋" w:eastAsia="仿宋"/>
          <w:sz w:val="32"/>
          <w:szCs w:val="32"/>
          <w:highlight w:val="none"/>
          <w:lang w:val="en-US" w:eastAsia="zh-CN"/>
        </w:rPr>
        <w:t>20年1月1日</w:t>
      </w:r>
      <w:r>
        <w:rPr>
          <w:rFonts w:hint="eastAsia" w:ascii="仿宋" w:hAnsi="仿宋" w:eastAsia="仿宋"/>
          <w:sz w:val="32"/>
          <w:szCs w:val="32"/>
          <w:highlight w:val="none"/>
        </w:rPr>
        <w:t>起至今同类货物供货的经验</w:t>
      </w:r>
      <w:r>
        <w:rPr>
          <w:rFonts w:hint="eastAsia" w:ascii="仿宋" w:hAnsi="仿宋" w:eastAsia="仿宋"/>
          <w:sz w:val="32"/>
          <w:szCs w:val="32"/>
          <w:highlight w:val="none"/>
          <w:lang w:eastAsia="zh-CN"/>
        </w:rPr>
        <w:t>。【按合同签订时间为准，须提供合同关键页复印件（包含但不限于合同首页、合同金额页、合同签字页等）、对应业绩项目合同期内任意一期已开具的发票</w:t>
      </w:r>
      <w:r>
        <w:rPr>
          <w:rFonts w:hint="eastAsia" w:ascii="仿宋" w:hAnsi="仿宋" w:eastAsia="仿宋"/>
          <w:sz w:val="32"/>
          <w:szCs w:val="32"/>
          <w:highlight w:val="none"/>
          <w:lang w:val="en-US" w:eastAsia="zh-CN"/>
        </w:rPr>
        <w:t>证明材料</w:t>
      </w:r>
      <w:r>
        <w:rPr>
          <w:rFonts w:hint="eastAsia" w:ascii="仿宋" w:hAnsi="仿宋" w:eastAsia="仿宋"/>
          <w:sz w:val="32"/>
          <w:szCs w:val="32"/>
          <w:highlight w:val="none"/>
          <w:lang w:eastAsia="zh-CN"/>
        </w:rPr>
        <w:t>加盖公章】</w:t>
      </w:r>
    </w:p>
    <w:p>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pPr>
        <w:spacing w:line="360" w:lineRule="auto"/>
        <w:ind w:firstLine="643" w:firstLineChars="200"/>
        <w:outlineLvl w:val="1"/>
        <w:rPr>
          <w:rFonts w:hint="default" w:ascii="仿宋" w:hAnsi="仿宋" w:eastAsia="仿宋"/>
          <w:color w:val="000000" w:themeColor="text1"/>
          <w:sz w:val="32"/>
          <w:szCs w:val="32"/>
          <w:highlight w:val="none"/>
          <w:lang w:val="en-US" w:eastAsia="zh-CN"/>
          <w14:textFill>
            <w14:solidFill>
              <w14:schemeClr w14:val="tx1"/>
            </w14:solidFill>
          </w14:textFill>
        </w:rPr>
      </w:pPr>
      <w:bookmarkStart w:id="5" w:name="_Toc18594_WPSOffice_Level2"/>
      <w:r>
        <w:rPr>
          <w:rFonts w:hint="eastAsia" w:ascii="仿宋" w:hAnsi="仿宋" w:eastAsia="仿宋"/>
          <w:b/>
          <w:bCs/>
          <w:sz w:val="32"/>
          <w:szCs w:val="32"/>
          <w:highlight w:val="none"/>
        </w:rPr>
        <w:t>（一）采购清单</w:t>
      </w:r>
      <w:bookmarkEnd w:id="5"/>
      <w:r>
        <w:rPr>
          <w:rFonts w:hint="eastAsia" w:ascii="仿宋" w:hAnsi="仿宋" w:eastAsia="仿宋"/>
          <w:b/>
          <w:bCs/>
          <w:sz w:val="32"/>
          <w:szCs w:val="32"/>
          <w:highlight w:val="none"/>
        </w:rPr>
        <w:t>及品质要求详见附件八《</w:t>
      </w:r>
      <w:r>
        <w:rPr>
          <w:rFonts w:hint="eastAsia" w:eastAsia="仿宋"/>
          <w:sz w:val="32"/>
          <w:szCs w:val="32"/>
          <w:highlight w:val="none"/>
          <w:lang w:eastAsia="zh-CN"/>
        </w:rPr>
        <w:t>东莞市海心沙资源综合利用中心环保热电厂生产物资采购项目（第</w:t>
      </w:r>
      <w:r>
        <w:rPr>
          <w:rFonts w:hint="eastAsia" w:eastAsia="仿宋"/>
          <w:sz w:val="32"/>
          <w:szCs w:val="32"/>
          <w:highlight w:val="none"/>
          <w:lang w:val="en-US" w:eastAsia="zh-CN"/>
        </w:rPr>
        <w:t>13</w:t>
      </w:r>
      <w:r>
        <w:rPr>
          <w:rFonts w:hint="eastAsia" w:eastAsia="仿宋"/>
          <w:sz w:val="32"/>
          <w:szCs w:val="32"/>
          <w:highlight w:val="none"/>
          <w:lang w:eastAsia="zh-CN"/>
        </w:rPr>
        <w:t>批）</w:t>
      </w:r>
      <w:r>
        <w:rPr>
          <w:rFonts w:hint="eastAsia" w:eastAsia="仿宋"/>
          <w:sz w:val="32"/>
          <w:szCs w:val="32"/>
          <w:highlight w:val="none"/>
        </w:rPr>
        <w:t>清单</w:t>
      </w:r>
      <w:r>
        <w:rPr>
          <w:rFonts w:hint="eastAsia" w:ascii="仿宋" w:hAnsi="仿宋" w:eastAsia="仿宋"/>
          <w:b/>
          <w:bCs/>
          <w:color w:val="000000" w:themeColor="text1"/>
          <w:sz w:val="32"/>
          <w:szCs w:val="32"/>
          <w:highlight w:val="none"/>
          <w14:textFill>
            <w14:solidFill>
              <w14:schemeClr w14:val="tx1"/>
            </w14:solidFill>
          </w14:textFill>
        </w:rPr>
        <w:t>》。</w:t>
      </w:r>
    </w:p>
    <w:p>
      <w:pPr>
        <w:spacing w:line="600" w:lineRule="exact"/>
        <w:ind w:firstLine="640" w:firstLineChars="200"/>
        <w:rPr>
          <w:rFonts w:ascii="仿宋" w:hAnsi="仿宋" w:eastAsia="仿宋"/>
          <w:sz w:val="32"/>
          <w:szCs w:val="32"/>
          <w:highlight w:val="none"/>
        </w:rPr>
      </w:pPr>
      <w:r>
        <w:rPr>
          <w:rFonts w:hint="eastAsia" w:eastAsia="仿宋_GB2312"/>
          <w:sz w:val="32"/>
          <w:szCs w:val="32"/>
          <w:highlight w:val="none"/>
        </w:rPr>
        <w:t>报价人应详细核对及阅读采购清单及技术要求，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rPr>
        <w:t>如有遗漏造成报价失误由报</w:t>
      </w:r>
      <w:r>
        <w:rPr>
          <w:rFonts w:hint="eastAsia" w:ascii="仿宋" w:hAnsi="仿宋" w:eastAsia="仿宋"/>
          <w:sz w:val="32"/>
          <w:szCs w:val="32"/>
          <w:highlight w:val="none"/>
        </w:rPr>
        <w:t>价人自行负责。</w:t>
      </w:r>
    </w:p>
    <w:p>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所有物资必须符合采购清单内的材质、性能、规格、工艺等要求；且均为合格产品，来源合法。若有品牌要求，报价人须保证所供货物为品牌正品，</w:t>
      </w:r>
      <w:r>
        <w:rPr>
          <w:rFonts w:hint="eastAsia" w:eastAsia="仿宋_GB2312"/>
          <w:b/>
          <w:bCs/>
          <w:sz w:val="32"/>
          <w:szCs w:val="32"/>
          <w:highlight w:val="none"/>
        </w:rPr>
        <w:t>报价人供货前或供货时，采购人有权要求报价人出具品牌授权证明材料</w:t>
      </w:r>
      <w:r>
        <w:rPr>
          <w:rFonts w:hint="eastAsia" w:eastAsia="仿宋_GB2312"/>
          <w:sz w:val="32"/>
          <w:szCs w:val="32"/>
          <w:highlight w:val="none"/>
        </w:rPr>
        <w:t>；若无具体品牌要求，在满足规格型号的条件下，可选择国产优质品牌，符合国家或行业标准。</w:t>
      </w:r>
    </w:p>
    <w:p>
      <w:pPr>
        <w:spacing w:line="600" w:lineRule="exact"/>
        <w:ind w:firstLine="640" w:firstLineChars="200"/>
        <w:rPr>
          <w:highlight w:val="none"/>
        </w:rPr>
      </w:pPr>
      <w:r>
        <w:rPr>
          <w:rFonts w:hint="eastAsia" w:eastAsia="仿宋_GB2312"/>
          <w:sz w:val="32"/>
          <w:szCs w:val="32"/>
          <w:highlight w:val="none"/>
        </w:rPr>
        <w:t>（三）货物必须为全新的合格产品，带有出厂凭证，设备型号需符合采购人附件八《</w:t>
      </w:r>
      <w:r>
        <w:rPr>
          <w:rFonts w:hint="eastAsia" w:eastAsia="仿宋_GB2312"/>
          <w:sz w:val="32"/>
          <w:szCs w:val="32"/>
          <w:highlight w:val="none"/>
          <w:lang w:eastAsia="zh-CN"/>
        </w:rPr>
        <w:t>东莞市海心沙资源综合利用中心环保热电厂生产物资采购项目（第</w:t>
      </w:r>
      <w:r>
        <w:rPr>
          <w:rFonts w:hint="eastAsia" w:eastAsia="仿宋_GB2312"/>
          <w:sz w:val="32"/>
          <w:szCs w:val="32"/>
          <w:highlight w:val="none"/>
          <w:lang w:val="en-US" w:eastAsia="zh-CN"/>
        </w:rPr>
        <w:t>13</w:t>
      </w:r>
      <w:r>
        <w:rPr>
          <w:rFonts w:hint="eastAsia" w:eastAsia="仿宋_GB2312"/>
          <w:sz w:val="32"/>
          <w:szCs w:val="32"/>
          <w:highlight w:val="none"/>
          <w:lang w:eastAsia="zh-CN"/>
        </w:rPr>
        <w:t>批）</w:t>
      </w:r>
      <w:r>
        <w:rPr>
          <w:rFonts w:hint="eastAsia" w:eastAsia="仿宋_GB2312"/>
          <w:sz w:val="32"/>
          <w:szCs w:val="32"/>
          <w:highlight w:val="none"/>
        </w:rPr>
        <w:t>清单》要求且符合国家相关标准。供货时报价人有义务配合采购人进行货品真伪验证（供货时出具合格有效的出厂证明、合格证、检测证明等相关文件）。</w:t>
      </w:r>
    </w:p>
    <w:p>
      <w:pPr>
        <w:spacing w:line="600" w:lineRule="exact"/>
        <w:ind w:firstLine="640" w:firstLineChars="200"/>
        <w:rPr>
          <w:highlight w:val="none"/>
        </w:rPr>
      </w:pPr>
      <w:r>
        <w:rPr>
          <w:rFonts w:hint="eastAsia" w:eastAsia="仿宋_GB2312"/>
          <w:sz w:val="32"/>
          <w:szCs w:val="32"/>
          <w:highlight w:val="none"/>
        </w:rPr>
        <w:t>（四）货物完成供货后经双方验收合格之日起质保一年。</w:t>
      </w:r>
    </w:p>
    <w:p>
      <w:pPr>
        <w:numPr>
          <w:ilvl w:val="255"/>
          <w:numId w:val="0"/>
        </w:num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（五）如采购人所要求货物品牌对应型号已停产或已更换型号编号，报价人可提供同品牌、同等或更优参数、同材质、满足采购人</w:t>
      </w:r>
      <w:r>
        <w:rPr>
          <w:rFonts w:hint="eastAsia" w:eastAsia="仿宋_GB2312"/>
          <w:sz w:val="32"/>
          <w:szCs w:val="32"/>
          <w:highlight w:val="none"/>
          <w:lang w:val="en-US" w:eastAsia="zh-CN"/>
        </w:rPr>
        <w:t>机械尺寸、</w:t>
      </w:r>
      <w:r>
        <w:rPr>
          <w:rFonts w:hint="eastAsia" w:eastAsia="仿宋_GB2312"/>
          <w:sz w:val="32"/>
          <w:szCs w:val="32"/>
          <w:highlight w:val="none"/>
        </w:rPr>
        <w:t>使用需求的其他型号替代品，并备注说明情况。如经采购人核实情况不属实的，视为报价人提交虚假报价文件，同时取消报价人资格。</w:t>
      </w:r>
    </w:p>
    <w:p>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w:t>
      </w:r>
      <w:r>
        <w:rPr>
          <w:rFonts w:hint="eastAsia" w:eastAsia="仿宋_GB2312"/>
          <w:sz w:val="32"/>
          <w:szCs w:val="32"/>
          <w:highlight w:val="none"/>
          <w:lang w:val="en-US" w:eastAsia="zh-CN"/>
        </w:rPr>
        <w:t>六</w:t>
      </w:r>
      <w:r>
        <w:rPr>
          <w:rFonts w:hint="eastAsia" w:eastAsia="仿宋_GB2312"/>
          <w:sz w:val="32"/>
          <w:szCs w:val="32"/>
          <w:highlight w:val="none"/>
        </w:rPr>
        <w:t>）</w:t>
      </w:r>
      <w:r>
        <w:rPr>
          <w:rFonts w:hint="eastAsia" w:eastAsia="仿宋_GB2312"/>
          <w:sz w:val="32"/>
          <w:szCs w:val="32"/>
          <w:highlight w:val="none"/>
          <w:lang w:val="en-US" w:eastAsia="zh-CN"/>
        </w:rPr>
        <w:t>本项目为采购人原设备配套用生产物资，报价人所报货物必须满足本项目附件清单所要求对应品牌型号的全部参数要求。</w:t>
      </w:r>
    </w:p>
    <w:p>
      <w:pPr>
        <w:numPr>
          <w:ilvl w:val="255"/>
          <w:numId w:val="0"/>
        </w:numPr>
        <w:spacing w:line="360" w:lineRule="auto"/>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如报价人所报生产物资品牌不在采购清单品牌范围内的，则报价人必须提供同等档次品牌或质量更优品牌产品。同时，报价人所报品牌生产物资必须完全满足采购人原有设备的使用需求、机械尺寸及配套需求。如报价人所报生产物资在实际供货中与采购人原有设备有任何不适配或无法满足使用需求的，采购人有权要求报价人在限期内将生产物资更换为采购人原附件清单内的品牌型号生产物资。如报价人拒绝或无法在限期内更换的，采购人有权自行购买，所产生的费用差额由报价人承担，报价人拒绝响应达三次以上的，采购人有权单方面取消合同并追究报价人的违约责任。</w:t>
      </w:r>
    </w:p>
    <w:p>
      <w:pPr>
        <w:ind w:firstLine="640" w:firstLineChars="200"/>
        <w:rPr>
          <w:rFonts w:hint="default" w:eastAsia="仿宋_GB2312"/>
          <w:sz w:val="32"/>
          <w:szCs w:val="32"/>
          <w:highlight w:val="none"/>
          <w:lang w:val="en-US" w:eastAsia="zh-CN"/>
        </w:rPr>
      </w:pPr>
      <w:r>
        <w:rPr>
          <w:rFonts w:hint="eastAsia" w:eastAsia="仿宋_GB2312"/>
          <w:sz w:val="32"/>
          <w:szCs w:val="32"/>
          <w:highlight w:val="none"/>
          <w:lang w:eastAsia="zh-CN"/>
        </w:rPr>
        <w:t>（</w:t>
      </w:r>
      <w:r>
        <w:rPr>
          <w:rFonts w:hint="eastAsia" w:eastAsia="仿宋_GB2312"/>
          <w:sz w:val="32"/>
          <w:szCs w:val="32"/>
          <w:highlight w:val="none"/>
          <w:lang w:val="en-US" w:eastAsia="zh-CN"/>
        </w:rPr>
        <w:t>七）</w:t>
      </w:r>
      <w:r>
        <w:rPr>
          <w:rFonts w:hint="eastAsia" w:eastAsia="仿宋_GB2312"/>
          <w:sz w:val="32"/>
          <w:szCs w:val="32"/>
          <w:highlight w:val="none"/>
        </w:rPr>
        <w:t>有其他技术疑问请咨询</w:t>
      </w:r>
      <w:r>
        <w:rPr>
          <w:rFonts w:hint="eastAsia" w:eastAsia="仿宋_GB2312"/>
          <w:sz w:val="32"/>
          <w:szCs w:val="32"/>
          <w:highlight w:val="none"/>
          <w:lang w:val="en-US" w:eastAsia="zh-CN"/>
        </w:rPr>
        <w:t>对应专业工程师（详见附件八），报价人须与对应专业工程师对清单物资进行确认并确保满足现场使用需求，因报价人未进行确认造成所报物资不满足现场使用需求的，报价人须在3个工作日内完成更换直至满足采购人使用需求，因此产生的费用由报价人承担。报价人如需现场确认的设备及备件情况的，可联系对应专工申请现场踏勘。</w:t>
      </w:r>
    </w:p>
    <w:p>
      <w:pPr>
        <w:spacing w:line="360" w:lineRule="auto"/>
        <w:ind w:firstLine="643" w:firstLineChars="200"/>
        <w:outlineLvl w:val="1"/>
        <w:rPr>
          <w:rFonts w:ascii="仿宋" w:hAnsi="仿宋" w:eastAsia="仿宋"/>
          <w:b/>
          <w:bCs/>
          <w:sz w:val="32"/>
          <w:szCs w:val="32"/>
          <w:highlight w:val="none"/>
        </w:rPr>
      </w:pPr>
      <w:bookmarkStart w:id="7" w:name="_Toc13465_WPSOffice_Level1"/>
      <w:r>
        <w:rPr>
          <w:rFonts w:hint="eastAsia" w:ascii="仿宋" w:hAnsi="仿宋" w:eastAsia="仿宋"/>
          <w:b/>
          <w:bCs/>
          <w:sz w:val="32"/>
          <w:szCs w:val="32"/>
          <w:highlight w:val="none"/>
        </w:rPr>
        <w:t>五、完成时间</w:t>
      </w:r>
      <w:bookmarkEnd w:id="7"/>
    </w:p>
    <w:p>
      <w:pPr>
        <w:spacing w:line="276" w:lineRule="auto"/>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发出结果确认函之日起，</w:t>
      </w:r>
      <w:r>
        <w:rPr>
          <w:rFonts w:hint="eastAsia" w:ascii="仿宋" w:hAnsi="仿宋" w:eastAsia="仿宋"/>
          <w:sz w:val="32"/>
          <w:szCs w:val="32"/>
          <w:highlight w:val="none"/>
          <w:lang w:val="en-US" w:eastAsia="zh-CN"/>
        </w:rPr>
        <w:t>成交人在</w:t>
      </w:r>
      <w:r>
        <w:rPr>
          <w:rFonts w:hint="eastAsia" w:ascii="仿宋" w:hAnsi="仿宋" w:eastAsia="仿宋"/>
          <w:sz w:val="32"/>
          <w:szCs w:val="32"/>
          <w:highlight w:val="none"/>
        </w:rPr>
        <w:t>15个日历日内完成所有物资供货，并经采购人验收合格。</w:t>
      </w:r>
    </w:p>
    <w:p>
      <w:pPr>
        <w:spacing w:line="360" w:lineRule="auto"/>
        <w:ind w:firstLine="643" w:firstLineChars="200"/>
        <w:outlineLvl w:val="1"/>
        <w:rPr>
          <w:rFonts w:ascii="仿宋" w:hAnsi="仿宋" w:eastAsia="仿宋" w:cs="仿宋"/>
          <w:sz w:val="32"/>
          <w:szCs w:val="32"/>
          <w:highlight w:val="none"/>
        </w:rPr>
      </w:pPr>
      <w:bookmarkStart w:id="8" w:name="_Toc5169_WPSOffice_Level1"/>
      <w:r>
        <w:rPr>
          <w:rFonts w:hint="eastAsia" w:ascii="仿宋" w:hAnsi="仿宋" w:eastAsia="仿宋"/>
          <w:b/>
          <w:bCs/>
          <w:sz w:val="32"/>
          <w:szCs w:val="32"/>
          <w:highlight w:val="none"/>
        </w:rPr>
        <w:t>六、报价保证金</w:t>
      </w:r>
      <w:bookmarkEnd w:id="8"/>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、报价保证金收款账户信息：</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帐户名称：东莞市新东元环保投资有限公司</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 xml:space="preserve">开户银行：中国银行股份有限公司东莞分行 </w:t>
      </w:r>
    </w:p>
    <w:p>
      <w:pPr>
        <w:pStyle w:val="14"/>
        <w:ind w:left="0" w:leftChars="0" w:firstLine="640" w:firstLineChars="200"/>
        <w:rPr>
          <w:highlight w:val="none"/>
        </w:rPr>
      </w:pPr>
      <w:r>
        <w:rPr>
          <w:rFonts w:hint="eastAsia" w:ascii="仿宋" w:hAnsi="仿宋" w:eastAsia="仿宋"/>
          <w:sz w:val="32"/>
          <w:szCs w:val="32"/>
          <w:highlight w:val="none"/>
        </w:rPr>
        <w:t>银行帐号：669170104633</w:t>
      </w:r>
      <w:bookmarkStart w:id="9" w:name="_Toc22752_WPSOffice_Level1"/>
    </w:p>
    <w:p>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pPr>
        <w:spacing w:line="360" w:lineRule="auto"/>
        <w:ind w:firstLine="640" w:firstLineChars="200"/>
        <w:outlineLvl w:val="1"/>
        <w:rPr>
          <w:rFonts w:ascii="仿宋" w:hAnsi="仿宋" w:eastAsia="仿宋"/>
          <w:sz w:val="32"/>
          <w:szCs w:val="32"/>
          <w:highlight w:val="none"/>
        </w:rPr>
      </w:pPr>
      <w:bookmarkStart w:id="10" w:name="_Hlk77259672"/>
      <w:bookmarkStart w:id="11" w:name="_Hlk63759280"/>
      <w:r>
        <w:rPr>
          <w:rFonts w:hint="eastAsia" w:ascii="仿宋" w:hAnsi="仿宋" w:eastAsia="仿宋"/>
          <w:sz w:val="32"/>
          <w:szCs w:val="32"/>
          <w:highlight w:val="none"/>
        </w:rPr>
        <w:t>本项目货款按月度进行结算，每月3日前，成交人向采购人提交上月供货对账单，双方对验收合格入库的货物数量及金额核对无误后，成交人在三个工作日内向采购人提交合法有效的等额增值税专用发票，采购人在当月</w:t>
      </w:r>
      <w:r>
        <w:rPr>
          <w:rFonts w:hint="eastAsia" w:ascii="仿宋" w:hAnsi="仿宋" w:eastAsia="仿宋"/>
          <w:sz w:val="32"/>
          <w:szCs w:val="32"/>
          <w:highlight w:val="none"/>
          <w:lang w:val="en-US" w:eastAsia="zh-CN"/>
        </w:rPr>
        <w:t>30</w:t>
      </w:r>
      <w:r>
        <w:rPr>
          <w:rFonts w:hint="eastAsia" w:ascii="仿宋" w:hAnsi="仿宋" w:eastAsia="仿宋"/>
          <w:sz w:val="32"/>
          <w:szCs w:val="32"/>
          <w:highlight w:val="none"/>
        </w:rPr>
        <w:t>日前向成交人支付上月入库货物金额的100%。成交人逾期递交对账单或发票的，采购人有权延迟一个月付款。</w:t>
      </w:r>
      <w:bookmarkEnd w:id="10"/>
      <w:bookmarkStart w:id="12" w:name="_Hlk57795626"/>
    </w:p>
    <w:bookmarkEnd w:id="11"/>
    <w:bookmarkEnd w:id="12"/>
    <w:p>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本项目</w:t>
      </w:r>
      <w:bookmarkStart w:id="13" w:name="_Hlk38315765"/>
      <w:r>
        <w:rPr>
          <w:rFonts w:hint="eastAsia" w:ascii="仿宋" w:hAnsi="仿宋" w:eastAsia="仿宋"/>
          <w:sz w:val="32"/>
          <w:szCs w:val="32"/>
          <w:highlight w:val="none"/>
        </w:rPr>
        <w:t>为固定</w:t>
      </w:r>
      <w:r>
        <w:rPr>
          <w:rFonts w:hint="eastAsia" w:ascii="仿宋" w:hAnsi="仿宋" w:eastAsia="仿宋"/>
          <w:sz w:val="32"/>
          <w:szCs w:val="32"/>
          <w:highlight w:val="none"/>
          <w:lang w:val="en-US" w:eastAsia="zh-CN"/>
        </w:rPr>
        <w:t>总价</w:t>
      </w:r>
      <w:r>
        <w:rPr>
          <w:rFonts w:hint="eastAsia" w:ascii="仿宋" w:hAnsi="仿宋" w:eastAsia="仿宋"/>
          <w:sz w:val="32"/>
          <w:szCs w:val="32"/>
          <w:highlight w:val="none"/>
        </w:rPr>
        <w:t>包干，报价包含货物、税费、人工费、装卸费、运费、服务费等一切为满足项目实施可能产生</w:t>
      </w:r>
      <w:r>
        <w:rPr>
          <w:rFonts w:ascii="仿宋" w:hAnsi="仿宋" w:eastAsia="仿宋"/>
          <w:sz w:val="32"/>
          <w:szCs w:val="32"/>
          <w:highlight w:val="none"/>
        </w:rPr>
        <w:t>的费用</w:t>
      </w:r>
      <w:r>
        <w:rPr>
          <w:rFonts w:hint="eastAsia" w:ascii="仿宋" w:hAnsi="仿宋" w:eastAsia="仿宋"/>
          <w:sz w:val="32"/>
          <w:szCs w:val="32"/>
          <w:highlight w:val="none"/>
        </w:rPr>
        <w:t>。</w:t>
      </w:r>
      <w:bookmarkEnd w:id="13"/>
    </w:p>
    <w:p>
      <w:pPr>
        <w:spacing w:line="360" w:lineRule="auto"/>
        <w:ind w:firstLine="643" w:firstLineChars="200"/>
        <w:outlineLvl w:val="1"/>
        <w:rPr>
          <w:rFonts w:ascii="仿宋" w:hAnsi="仿宋" w:eastAsia="仿宋"/>
          <w:b/>
          <w:bCs/>
          <w:sz w:val="32"/>
          <w:szCs w:val="32"/>
          <w:highlight w:val="none"/>
        </w:rPr>
      </w:pPr>
      <w:bookmarkStart w:id="14"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4"/>
    </w:p>
    <w:p>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rPr>
        <w:t>本次项目采用询价方式进行采购，原则上以含税总价的最低报价的报价人为成交人。</w:t>
      </w:r>
    </w:p>
    <w:p>
      <w:pPr>
        <w:spacing w:line="360" w:lineRule="auto"/>
        <w:ind w:firstLine="640" w:firstLineChars="200"/>
        <w:outlineLvl w:val="1"/>
        <w:rPr>
          <w:rFonts w:eastAsia="仿宋_GB2312"/>
          <w:sz w:val="32"/>
          <w:szCs w:val="32"/>
          <w:highlight w:val="none"/>
        </w:rPr>
      </w:pPr>
      <w:r>
        <w:rPr>
          <w:rFonts w:hint="eastAsia" w:eastAsia="仿宋_GB2312"/>
          <w:sz w:val="32"/>
          <w:szCs w:val="32"/>
          <w:highlight w:val="none"/>
        </w:rPr>
        <w:t>开标结束后由我司招标成本部将相关询价情况报我司招标采购工作小组审定，由我司招标采购工作小组定标。</w:t>
      </w:r>
    </w:p>
    <w:p>
      <w:pPr>
        <w:spacing w:line="360" w:lineRule="auto"/>
        <w:ind w:firstLine="643" w:firstLineChars="200"/>
        <w:outlineLvl w:val="1"/>
        <w:rPr>
          <w:rFonts w:ascii="仿宋" w:hAnsi="仿宋" w:eastAsia="仿宋"/>
          <w:b/>
          <w:bCs/>
          <w:sz w:val="32"/>
          <w:szCs w:val="32"/>
          <w:highlight w:val="none"/>
        </w:rPr>
      </w:pPr>
      <w:bookmarkStart w:id="15"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5"/>
    </w:p>
    <w:p>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合同签订的依据为询价</w:t>
      </w:r>
      <w:r>
        <w:rPr>
          <w:rFonts w:hint="eastAsia" w:ascii="仿宋" w:hAnsi="仿宋" w:eastAsia="仿宋"/>
          <w:sz w:val="32"/>
          <w:szCs w:val="32"/>
          <w:highlight w:val="none"/>
        </w:rPr>
        <w:t>文件</w:t>
      </w:r>
      <w:r>
        <w:rPr>
          <w:rFonts w:ascii="仿宋" w:hAnsi="仿宋" w:eastAsia="仿宋"/>
          <w:sz w:val="32"/>
          <w:szCs w:val="32"/>
          <w:highlight w:val="none"/>
        </w:rPr>
        <w:t>、报价文件及补充说明等。确定</w:t>
      </w:r>
      <w:r>
        <w:rPr>
          <w:rFonts w:hint="eastAsia" w:ascii="仿宋" w:hAnsi="仿宋" w:eastAsia="仿宋"/>
          <w:sz w:val="32"/>
          <w:szCs w:val="32"/>
          <w:highlight w:val="none"/>
        </w:rPr>
        <w:t>成交人</w:t>
      </w:r>
      <w:r>
        <w:rPr>
          <w:rFonts w:ascii="仿宋" w:hAnsi="仿宋" w:eastAsia="仿宋"/>
          <w:sz w:val="32"/>
          <w:szCs w:val="32"/>
          <w:highlight w:val="none"/>
        </w:rPr>
        <w:t>后，</w:t>
      </w:r>
      <w:r>
        <w:rPr>
          <w:rFonts w:hint="eastAsia" w:ascii="仿宋" w:hAnsi="仿宋" w:eastAsia="仿宋"/>
          <w:sz w:val="32"/>
          <w:szCs w:val="32"/>
          <w:highlight w:val="none"/>
        </w:rPr>
        <w:t>成交人</w:t>
      </w:r>
      <w:r>
        <w:rPr>
          <w:rFonts w:ascii="仿宋" w:hAnsi="仿宋" w:eastAsia="仿宋"/>
          <w:sz w:val="32"/>
          <w:szCs w:val="32"/>
          <w:highlight w:val="none"/>
        </w:rPr>
        <w:t>在1</w:t>
      </w:r>
      <w:r>
        <w:rPr>
          <w:rFonts w:hint="eastAsia" w:ascii="仿宋" w:hAnsi="仿宋" w:eastAsia="仿宋"/>
          <w:sz w:val="32"/>
          <w:szCs w:val="32"/>
          <w:highlight w:val="none"/>
        </w:rPr>
        <w:t>5个工作日</w:t>
      </w:r>
      <w:r>
        <w:rPr>
          <w:rFonts w:ascii="仿宋" w:hAnsi="仿宋" w:eastAsia="仿宋"/>
          <w:sz w:val="32"/>
          <w:szCs w:val="32"/>
          <w:highlight w:val="none"/>
        </w:rPr>
        <w:t>内与采购人签订合同</w:t>
      </w:r>
      <w:r>
        <w:rPr>
          <w:rFonts w:hint="eastAsia" w:ascii="仿宋" w:hAnsi="仿宋" w:eastAsia="仿宋"/>
          <w:sz w:val="32"/>
          <w:szCs w:val="32"/>
          <w:highlight w:val="none"/>
        </w:rPr>
        <w:t>（详见附件合同模板）</w:t>
      </w:r>
      <w:r>
        <w:rPr>
          <w:rFonts w:ascii="仿宋" w:hAnsi="仿宋" w:eastAsia="仿宋"/>
          <w:sz w:val="32"/>
          <w:szCs w:val="32"/>
          <w:highlight w:val="none"/>
        </w:rPr>
        <w:t>。</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收款前需向采购人提供请款材料和开具合法有效等额的增值税专用发票，否则采购人有权拒绝付款。</w:t>
      </w:r>
    </w:p>
    <w:p>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、报价文件的组成部分</w:t>
      </w:r>
      <w:r>
        <w:rPr>
          <w:rFonts w:hint="eastAsia" w:ascii="仿宋" w:hAnsi="仿宋" w:eastAsia="仿宋"/>
          <w:b/>
          <w:bCs/>
          <w:sz w:val="32"/>
          <w:szCs w:val="32"/>
          <w:highlight w:val="none"/>
        </w:rPr>
        <w:t>（报价人如未按本项要求提供资料，则作无效报价处理）</w:t>
      </w:r>
    </w:p>
    <w:p>
      <w:pPr>
        <w:numPr>
          <w:ilvl w:val="0"/>
          <w:numId w:val="1"/>
        </w:numPr>
        <w:spacing w:line="360" w:lineRule="auto"/>
        <w:ind w:left="-10" w:leftChars="0" w:firstLine="640" w:firstLineChars="0"/>
        <w:outlineLvl w:val="1"/>
        <w:rPr>
          <w:rFonts w:ascii="仿宋" w:hAnsi="仿宋" w:eastAsia="仿宋"/>
          <w:sz w:val="32"/>
          <w:szCs w:val="32"/>
          <w:highlight w:val="none"/>
        </w:rPr>
      </w:pPr>
      <w:bookmarkStart w:id="16" w:name="_Toc22880_WPSOffice_Level2"/>
      <w:r>
        <w:rPr>
          <w:rFonts w:ascii="仿宋" w:hAnsi="仿宋" w:eastAsia="仿宋"/>
          <w:sz w:val="32"/>
          <w:szCs w:val="32"/>
          <w:highlight w:val="none"/>
        </w:rPr>
        <w:t>报价函（模板</w:t>
      </w:r>
      <w:r>
        <w:rPr>
          <w:rFonts w:hint="eastAsia" w:ascii="仿宋" w:hAnsi="仿宋" w:eastAsia="仿宋"/>
          <w:sz w:val="32"/>
          <w:szCs w:val="32"/>
          <w:highlight w:val="none"/>
        </w:rPr>
        <w:t>，详见附件</w:t>
      </w:r>
      <w:r>
        <w:rPr>
          <w:rFonts w:ascii="仿宋" w:hAnsi="仿宋" w:eastAsia="仿宋"/>
          <w:sz w:val="32"/>
          <w:szCs w:val="32"/>
          <w:highlight w:val="none"/>
        </w:rPr>
        <w:t>）</w:t>
      </w:r>
      <w:r>
        <w:rPr>
          <w:rFonts w:hint="eastAsia" w:ascii="仿宋" w:hAnsi="仿宋" w:eastAsia="仿宋"/>
          <w:sz w:val="32"/>
          <w:szCs w:val="32"/>
          <w:highlight w:val="none"/>
        </w:rPr>
        <w:t>及报价清单（</w:t>
      </w:r>
      <w:r>
        <w:rPr>
          <w:rFonts w:hint="eastAsia" w:ascii="仿宋" w:hAnsi="仿宋" w:eastAsia="仿宋"/>
          <w:sz w:val="32"/>
          <w:szCs w:val="32"/>
          <w:highlight w:val="none"/>
          <w:lang w:val="en-US" w:eastAsia="zh-CN"/>
        </w:rPr>
        <w:t>自拟</w:t>
      </w:r>
      <w:r>
        <w:rPr>
          <w:rFonts w:hint="eastAsia" w:ascii="仿宋" w:hAnsi="仿宋" w:eastAsia="仿宋"/>
          <w:sz w:val="32"/>
          <w:szCs w:val="32"/>
          <w:highlight w:val="none"/>
        </w:rPr>
        <w:t>，详见附件八，必须包含本项目所有的子项报价）；</w:t>
      </w:r>
      <w:bookmarkEnd w:id="16"/>
    </w:p>
    <w:p>
      <w:pPr>
        <w:spacing w:line="360" w:lineRule="auto"/>
        <w:ind w:firstLine="640" w:firstLineChars="200"/>
        <w:outlineLvl w:val="1"/>
        <w:rPr>
          <w:rFonts w:ascii="仿宋" w:hAnsi="仿宋" w:eastAsia="仿宋"/>
          <w:sz w:val="32"/>
          <w:szCs w:val="32"/>
          <w:highlight w:val="none"/>
        </w:rPr>
      </w:pPr>
      <w:bookmarkStart w:id="17" w:name="_Toc28023_WPSOffice_Level2"/>
      <w:r>
        <w:rPr>
          <w:rFonts w:ascii="仿宋" w:hAnsi="仿宋" w:eastAsia="仿宋"/>
          <w:sz w:val="32"/>
          <w:szCs w:val="32"/>
          <w:highlight w:val="none"/>
        </w:rPr>
        <w:t>2、法人证明（模板</w:t>
      </w:r>
      <w:r>
        <w:rPr>
          <w:rFonts w:hint="eastAsia" w:ascii="仿宋" w:hAnsi="仿宋" w:eastAsia="仿宋"/>
          <w:sz w:val="32"/>
          <w:szCs w:val="32"/>
          <w:highlight w:val="none"/>
        </w:rPr>
        <w:t>，详见附件</w:t>
      </w:r>
      <w:r>
        <w:rPr>
          <w:rFonts w:ascii="仿宋" w:hAnsi="仿宋" w:eastAsia="仿宋"/>
          <w:sz w:val="32"/>
          <w:szCs w:val="32"/>
          <w:highlight w:val="none"/>
        </w:rPr>
        <w:t>）以及法人身份证复印件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7"/>
    </w:p>
    <w:p>
      <w:pPr>
        <w:spacing w:line="360" w:lineRule="auto"/>
        <w:ind w:firstLine="640" w:firstLineChars="200"/>
        <w:outlineLvl w:val="1"/>
        <w:rPr>
          <w:rFonts w:ascii="仿宋" w:hAnsi="仿宋" w:eastAsia="仿宋"/>
          <w:sz w:val="32"/>
          <w:szCs w:val="32"/>
          <w:highlight w:val="none"/>
        </w:rPr>
      </w:pPr>
      <w:bookmarkStart w:id="18" w:name="_Toc13465_WPSOffice_Level2"/>
      <w:r>
        <w:rPr>
          <w:rFonts w:ascii="仿宋" w:hAnsi="仿宋" w:eastAsia="仿宋"/>
          <w:sz w:val="32"/>
          <w:szCs w:val="32"/>
          <w:highlight w:val="none"/>
        </w:rPr>
        <w:t>3、法人授权书（模板</w:t>
      </w:r>
      <w:r>
        <w:rPr>
          <w:rFonts w:hint="eastAsia" w:ascii="仿宋" w:hAnsi="仿宋" w:eastAsia="仿宋"/>
          <w:sz w:val="32"/>
          <w:szCs w:val="32"/>
          <w:highlight w:val="none"/>
        </w:rPr>
        <w:t>，详见附件</w:t>
      </w:r>
      <w:r>
        <w:rPr>
          <w:rFonts w:ascii="仿宋" w:hAnsi="仿宋" w:eastAsia="仿宋"/>
          <w:sz w:val="32"/>
          <w:szCs w:val="32"/>
          <w:highlight w:val="none"/>
        </w:rPr>
        <w:t>）及被委托人身份证复印件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8"/>
    </w:p>
    <w:p>
      <w:pPr>
        <w:spacing w:line="360" w:lineRule="auto"/>
        <w:ind w:firstLine="640" w:firstLineChars="200"/>
        <w:outlineLvl w:val="1"/>
        <w:rPr>
          <w:rFonts w:ascii="仿宋" w:hAnsi="仿宋" w:eastAsia="仿宋"/>
          <w:sz w:val="32"/>
          <w:szCs w:val="32"/>
          <w:highlight w:val="none"/>
        </w:rPr>
      </w:pPr>
      <w:bookmarkStart w:id="19" w:name="_Toc5169_WPSOffice_Level2"/>
      <w:r>
        <w:rPr>
          <w:rFonts w:ascii="仿宋" w:hAnsi="仿宋" w:eastAsia="仿宋"/>
          <w:sz w:val="32"/>
          <w:szCs w:val="32"/>
          <w:highlight w:val="none"/>
        </w:rPr>
        <w:t>4、</w:t>
      </w:r>
      <w:r>
        <w:rPr>
          <w:rFonts w:hint="eastAsia" w:ascii="仿宋" w:hAnsi="仿宋" w:eastAsia="仿宋"/>
          <w:sz w:val="32"/>
          <w:szCs w:val="32"/>
          <w:highlight w:val="none"/>
        </w:rPr>
        <w:t>报价人</w:t>
      </w:r>
      <w:r>
        <w:rPr>
          <w:rFonts w:ascii="仿宋" w:hAnsi="仿宋" w:eastAsia="仿宋"/>
          <w:sz w:val="32"/>
          <w:szCs w:val="32"/>
          <w:highlight w:val="none"/>
        </w:rPr>
        <w:t>营业执照复印件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9"/>
    </w:p>
    <w:p>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5、业绩证明材料（按本项目报价人资格要求提供资料，加盖公章）；</w:t>
      </w:r>
    </w:p>
    <w:p>
      <w:pPr>
        <w:spacing w:line="360" w:lineRule="auto"/>
        <w:ind w:firstLine="640" w:firstLineChars="200"/>
        <w:outlineLvl w:val="1"/>
        <w:rPr>
          <w:rFonts w:ascii="仿宋" w:hAnsi="仿宋" w:eastAsia="仿宋"/>
          <w:sz w:val="32"/>
          <w:szCs w:val="32"/>
          <w:highlight w:val="none"/>
        </w:rPr>
      </w:pPr>
      <w:r>
        <w:rPr>
          <w:rFonts w:hint="eastAsia" w:ascii="Times New Roman" w:hAnsi="Times New Roman" w:eastAsia="仿宋" w:cs="Times New Roman"/>
          <w:sz w:val="32"/>
          <w:szCs w:val="32"/>
          <w:highlight w:val="none"/>
          <w:lang w:eastAsia="zh-CN"/>
        </w:rPr>
        <w:t>6</w:t>
      </w:r>
      <w:r>
        <w:rPr>
          <w:rFonts w:hint="default" w:ascii="Times New Roman" w:hAnsi="Times New Roman" w:eastAsia="仿宋" w:cs="Times New Roman"/>
          <w:sz w:val="32"/>
          <w:szCs w:val="32"/>
          <w:highlight w:val="none"/>
        </w:rPr>
        <w:t>、</w:t>
      </w:r>
      <w:bookmarkStart w:id="20" w:name="_Toc6431_WPSOffice_Level2"/>
      <w:r>
        <w:rPr>
          <w:rFonts w:hint="default" w:ascii="Times New Roman" w:hAnsi="Times New Roman" w:eastAsia="仿宋" w:cs="Times New Roman"/>
          <w:sz w:val="32"/>
          <w:szCs w:val="32"/>
          <w:highlight w:val="none"/>
        </w:rPr>
        <w:t>本项目询价文件要求或报价人认为应补充的其他资料</w:t>
      </w:r>
      <w:r>
        <w:rPr>
          <w:rFonts w:ascii="仿宋" w:hAnsi="仿宋" w:eastAsia="仿宋"/>
          <w:sz w:val="32"/>
          <w:szCs w:val="32"/>
          <w:highlight w:val="none"/>
        </w:rPr>
        <w:t>（如有</w:t>
      </w:r>
      <w:r>
        <w:rPr>
          <w:rFonts w:hint="eastAsia" w:ascii="仿宋" w:hAnsi="仿宋" w:eastAsia="仿宋"/>
          <w:sz w:val="32"/>
          <w:szCs w:val="32"/>
          <w:highlight w:val="none"/>
        </w:rPr>
        <w:t>，加盖公章</w:t>
      </w:r>
      <w:r>
        <w:rPr>
          <w:rFonts w:ascii="仿宋" w:hAnsi="仿宋" w:eastAsia="仿宋"/>
          <w:sz w:val="32"/>
          <w:szCs w:val="32"/>
          <w:highlight w:val="none"/>
        </w:rPr>
        <w:t>）。</w:t>
      </w:r>
      <w:bookmarkEnd w:id="20"/>
    </w:p>
    <w:p>
      <w:pPr>
        <w:spacing w:line="360" w:lineRule="auto"/>
        <w:ind w:firstLine="643" w:firstLineChars="200"/>
        <w:rPr>
          <w:rFonts w:hint="eastAsia" w:ascii="仿宋" w:hAnsi="仿宋" w:eastAsia="仿宋"/>
          <w:b/>
          <w:bCs/>
          <w:sz w:val="32"/>
          <w:szCs w:val="32"/>
          <w:highlight w:val="yellow"/>
        </w:rPr>
      </w:pPr>
      <w:bookmarkStart w:id="21" w:name="_Toc17260_WPSOffice_Level2"/>
      <w:r>
        <w:rPr>
          <w:rFonts w:hint="eastAsia" w:ascii="仿宋" w:hAnsi="仿宋" w:eastAsia="仿宋"/>
          <w:b/>
          <w:bCs/>
          <w:sz w:val="32"/>
          <w:szCs w:val="32"/>
          <w:highlight w:val="yellow"/>
          <w:lang w:val="en-US" w:eastAsia="zh-CN"/>
        </w:rPr>
        <w:t>7</w:t>
      </w:r>
      <w:r>
        <w:rPr>
          <w:rFonts w:hint="eastAsia" w:ascii="仿宋" w:hAnsi="仿宋" w:eastAsia="仿宋"/>
          <w:b/>
          <w:bCs/>
          <w:sz w:val="32"/>
          <w:szCs w:val="32"/>
          <w:highlight w:val="yellow"/>
        </w:rPr>
        <w:t>、</w:t>
      </w:r>
      <w:r>
        <w:rPr>
          <w:rFonts w:hint="eastAsia" w:eastAsia="仿宋_GB2312"/>
          <w:b/>
          <w:bCs/>
          <w:color w:val="000000"/>
          <w:sz w:val="32"/>
          <w:szCs w:val="32"/>
          <w:highlight w:val="yellow"/>
          <w:lang w:val="en-US" w:eastAsia="zh-CN"/>
        </w:rPr>
        <w:t>响应承诺函</w:t>
      </w:r>
      <w:r>
        <w:rPr>
          <w:rFonts w:hint="eastAsia" w:eastAsia="仿宋_GB2312"/>
          <w:b/>
          <w:bCs/>
          <w:color w:val="000000"/>
          <w:sz w:val="32"/>
          <w:szCs w:val="32"/>
          <w:highlight w:val="yellow"/>
        </w:rPr>
        <w:t>（模板，详见附件</w:t>
      </w:r>
      <w:r>
        <w:rPr>
          <w:rFonts w:hint="eastAsia" w:eastAsia="仿宋_GB2312"/>
          <w:b/>
          <w:bCs/>
          <w:color w:val="000000"/>
          <w:sz w:val="32"/>
          <w:szCs w:val="32"/>
          <w:highlight w:val="yellow"/>
          <w:lang w:eastAsia="zh-CN"/>
        </w:rPr>
        <w:t>，</w:t>
      </w:r>
      <w:r>
        <w:rPr>
          <w:rFonts w:hint="eastAsia" w:eastAsia="仿宋_GB2312"/>
          <w:b/>
          <w:bCs/>
          <w:color w:val="000000"/>
          <w:sz w:val="32"/>
          <w:szCs w:val="32"/>
          <w:highlight w:val="yellow"/>
          <w:lang w:val="en-US" w:eastAsia="zh-CN"/>
        </w:rPr>
        <w:t>加盖公章</w:t>
      </w:r>
      <w:r>
        <w:rPr>
          <w:rFonts w:hint="eastAsia" w:eastAsia="仿宋_GB2312"/>
          <w:b/>
          <w:bCs/>
          <w:color w:val="000000"/>
          <w:sz w:val="32"/>
          <w:szCs w:val="32"/>
          <w:highlight w:val="yellow"/>
        </w:rPr>
        <w:t>）</w:t>
      </w:r>
    </w:p>
    <w:p>
      <w:pPr>
        <w:spacing w:line="360" w:lineRule="auto"/>
        <w:ind w:firstLine="640" w:firstLineChars="200"/>
        <w:rPr>
          <w:rFonts w:eastAsia="仿宋_GB2312"/>
          <w:sz w:val="32"/>
          <w:szCs w:val="32"/>
          <w:highlight w:val="none"/>
        </w:rPr>
      </w:pPr>
      <w:r>
        <w:rPr>
          <w:rFonts w:hint="eastAsia" w:ascii="仿宋" w:hAnsi="仿宋" w:eastAsia="仿宋"/>
          <w:sz w:val="32"/>
          <w:szCs w:val="32"/>
          <w:highlight w:val="none"/>
          <w:lang w:val="en-US" w:eastAsia="zh-CN"/>
        </w:rPr>
        <w:t>8、</w:t>
      </w:r>
      <w:r>
        <w:rPr>
          <w:rFonts w:hint="eastAsia" w:eastAsia="仿宋_GB2312"/>
          <w:sz w:val="32"/>
          <w:szCs w:val="32"/>
          <w:highlight w:val="none"/>
        </w:rPr>
        <w:t>投标人未到场声明（</w:t>
      </w:r>
      <w:r>
        <w:rPr>
          <w:rFonts w:hint="eastAsia" w:eastAsia="仿宋_GB2312"/>
          <w:sz w:val="32"/>
          <w:szCs w:val="32"/>
          <w:highlight w:val="none"/>
          <w:lang w:val="en-US" w:eastAsia="zh-CN"/>
        </w:rPr>
        <w:t>未参与现场开标必须提供</w:t>
      </w:r>
      <w:r>
        <w:rPr>
          <w:rFonts w:hint="eastAsia" w:eastAsia="仿宋_GB2312"/>
          <w:sz w:val="32"/>
          <w:szCs w:val="32"/>
          <w:highlight w:val="none"/>
        </w:rPr>
        <w:t>，详见附件）</w:t>
      </w:r>
      <w:bookmarkEnd w:id="21"/>
      <w:r>
        <w:rPr>
          <w:rFonts w:hint="eastAsia" w:eastAsia="仿宋_GB2312"/>
          <w:color w:val="000000" w:themeColor="text1"/>
          <w:sz w:val="32"/>
          <w:szCs w:val="32"/>
          <w:highlight w:val="none"/>
          <w14:textFill>
            <w14:solidFill>
              <w14:schemeClr w14:val="tx1"/>
            </w14:solidFill>
          </w14:textFill>
        </w:rPr>
        <w:t>。</w:t>
      </w:r>
    </w:p>
    <w:p>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1、正本一份、副本一份。</w:t>
      </w:r>
    </w:p>
    <w:p>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2、报价人须严格按照采购人提供的表单格式及要求报价，响应文件必须装订或胶装成册，正本必须每页加盖公章，副本可使用正本复印件</w:t>
      </w:r>
      <w:r>
        <w:rPr>
          <w:rFonts w:hint="eastAsia" w:ascii="仿宋" w:hAnsi="仿宋" w:eastAsia="仿宋"/>
          <w:sz w:val="32"/>
          <w:szCs w:val="32"/>
          <w:highlight w:val="none"/>
          <w:lang w:val="en-US" w:eastAsia="zh-CN"/>
        </w:rPr>
        <w:t>但必须</w:t>
      </w:r>
      <w:r>
        <w:rPr>
          <w:rFonts w:hint="eastAsia" w:ascii="仿宋" w:hAnsi="仿宋" w:eastAsia="仿宋"/>
          <w:sz w:val="32"/>
          <w:szCs w:val="32"/>
          <w:highlight w:val="none"/>
        </w:rPr>
        <w:t>于封面及骑缝处加盖公章。</w:t>
      </w:r>
    </w:p>
    <w:p>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3、响应文件必须密封完好，装有响应文件的文件袋须贴有密封条，于骑缝处加盖企业公章。不得以快递文件袋作为密封。</w:t>
      </w:r>
    </w:p>
    <w:p>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4、报价人所递交的响应文件必须为盖章原件，公章、私章或签字不得为彩色/黑白的打印件/复印件。</w:t>
      </w:r>
    </w:p>
    <w:p>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5、报价人需将本项目密封文件袋封面（附件一）粘贴于响应文件密封袋上。</w:t>
      </w:r>
    </w:p>
    <w:p>
      <w:pPr>
        <w:pStyle w:val="2"/>
        <w:spacing w:line="360" w:lineRule="auto"/>
        <w:ind w:firstLine="640" w:firstLineChars="200"/>
        <w:rPr>
          <w:rFonts w:ascii="仿宋" w:hAnsi="仿宋" w:eastAsia="仿宋"/>
          <w:sz w:val="32"/>
          <w:szCs w:val="32"/>
          <w:highlight w:val="none"/>
        </w:rPr>
      </w:pPr>
      <w:r>
        <w:rPr>
          <w:rFonts w:hint="eastAsia" w:ascii="仿宋" w:hAnsi="仿宋" w:eastAsia="仿宋"/>
          <w:sz w:val="32"/>
          <w:szCs w:val="32"/>
          <w:highlight w:val="none"/>
        </w:rPr>
        <w:t>6、不符合本项要求的响应文件为无效报价。</w:t>
      </w:r>
    </w:p>
    <w:p>
      <w:pPr>
        <w:spacing w:line="360" w:lineRule="auto"/>
        <w:ind w:firstLine="643" w:firstLineChars="200"/>
        <w:outlineLvl w:val="1"/>
        <w:rPr>
          <w:rFonts w:ascii="仿宋" w:hAnsi="仿宋" w:eastAsia="仿宋"/>
          <w:b/>
          <w:bCs/>
          <w:sz w:val="32"/>
          <w:szCs w:val="32"/>
          <w:highlight w:val="none"/>
        </w:rPr>
      </w:pPr>
      <w:bookmarkStart w:id="22" w:name="_Toc406_WPSOffice_Level1"/>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22"/>
    </w:p>
    <w:p>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开标时间：202</w:t>
      </w:r>
      <w:r>
        <w:rPr>
          <w:rFonts w:hint="eastAsia" w:ascii="仿宋" w:hAnsi="仿宋" w:eastAsia="仿宋"/>
          <w:sz w:val="32"/>
          <w:szCs w:val="32"/>
          <w:highlight w:val="none"/>
          <w:lang w:val="en-US" w:eastAsia="zh-CN"/>
        </w:rPr>
        <w:t>3</w:t>
      </w:r>
      <w:r>
        <w:rPr>
          <w:rFonts w:ascii="仿宋" w:hAnsi="仿宋" w:eastAsia="仿宋"/>
          <w:sz w:val="32"/>
          <w:szCs w:val="32"/>
          <w:highlight w:val="none"/>
        </w:rPr>
        <w:t>年</w:t>
      </w:r>
      <w:r>
        <w:rPr>
          <w:rFonts w:hint="eastAsia" w:ascii="仿宋" w:hAnsi="仿宋" w:eastAsia="仿宋"/>
          <w:sz w:val="32"/>
          <w:szCs w:val="32"/>
          <w:highlight w:val="none"/>
          <w:lang w:val="en-US" w:eastAsia="zh-CN"/>
        </w:rPr>
        <w:t xml:space="preserve"> 12 </w:t>
      </w:r>
      <w:r>
        <w:rPr>
          <w:rFonts w:ascii="仿宋" w:hAnsi="仿宋" w:eastAsia="仿宋"/>
          <w:sz w:val="32"/>
          <w:szCs w:val="32"/>
          <w:highlight w:val="none"/>
        </w:rPr>
        <w:t>月</w:t>
      </w:r>
      <w:r>
        <w:rPr>
          <w:rFonts w:hint="eastAsia" w:ascii="仿宋" w:hAnsi="仿宋" w:eastAsia="仿宋"/>
          <w:sz w:val="32"/>
          <w:szCs w:val="32"/>
          <w:highlight w:val="none"/>
          <w:lang w:val="en-US" w:eastAsia="zh-CN"/>
        </w:rPr>
        <w:t xml:space="preserve">15 </w:t>
      </w:r>
      <w:r>
        <w:rPr>
          <w:rFonts w:ascii="仿宋" w:hAnsi="仿宋" w:eastAsia="仿宋"/>
          <w:sz w:val="32"/>
          <w:szCs w:val="32"/>
          <w:highlight w:val="none"/>
        </w:rPr>
        <w:t>日（星期</w:t>
      </w:r>
      <w:r>
        <w:rPr>
          <w:rFonts w:hint="eastAsia" w:ascii="仿宋" w:hAnsi="仿宋" w:eastAsia="仿宋"/>
          <w:sz w:val="32"/>
          <w:szCs w:val="32"/>
          <w:highlight w:val="none"/>
          <w:lang w:val="en-US" w:eastAsia="zh-CN"/>
        </w:rPr>
        <w:t>五</w:t>
      </w:r>
      <w:r>
        <w:rPr>
          <w:rFonts w:ascii="仿宋" w:hAnsi="仿宋" w:eastAsia="仿宋"/>
          <w:sz w:val="32"/>
          <w:szCs w:val="32"/>
          <w:highlight w:val="none"/>
        </w:rPr>
        <w:t>）</w:t>
      </w:r>
      <w:r>
        <w:rPr>
          <w:rFonts w:hint="eastAsia" w:ascii="仿宋" w:hAnsi="仿宋" w:eastAsia="仿宋"/>
          <w:sz w:val="32"/>
          <w:szCs w:val="32"/>
          <w:highlight w:val="none"/>
        </w:rPr>
        <w:t>上午</w:t>
      </w:r>
      <w:r>
        <w:rPr>
          <w:rFonts w:ascii="仿宋" w:hAnsi="仿宋" w:eastAsia="仿宋"/>
          <w:sz w:val="32"/>
          <w:szCs w:val="32"/>
          <w:highlight w:val="none"/>
        </w:rPr>
        <w:t>10</w:t>
      </w:r>
      <w:r>
        <w:rPr>
          <w:rFonts w:hint="eastAsia" w:ascii="仿宋" w:hAnsi="仿宋" w:eastAsia="仿宋"/>
          <w:sz w:val="32"/>
          <w:szCs w:val="32"/>
          <w:highlight w:val="none"/>
        </w:rPr>
        <w:t>:</w:t>
      </w:r>
      <w:r>
        <w:rPr>
          <w:rFonts w:ascii="仿宋" w:hAnsi="仿宋" w:eastAsia="仿宋"/>
          <w:sz w:val="32"/>
          <w:szCs w:val="32"/>
          <w:highlight w:val="none"/>
        </w:rPr>
        <w:t>0</w:t>
      </w:r>
      <w:r>
        <w:rPr>
          <w:rFonts w:hint="eastAsia" w:ascii="仿宋" w:hAnsi="仿宋" w:eastAsia="仿宋"/>
          <w:sz w:val="32"/>
          <w:szCs w:val="32"/>
          <w:highlight w:val="none"/>
        </w:rPr>
        <w:t>0</w:t>
      </w:r>
      <w:r>
        <w:rPr>
          <w:rFonts w:ascii="仿宋" w:hAnsi="仿宋" w:eastAsia="仿宋"/>
          <w:sz w:val="32"/>
          <w:szCs w:val="32"/>
          <w:highlight w:val="none"/>
        </w:rPr>
        <w:t>。</w:t>
      </w:r>
    </w:p>
    <w:p>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本项目报价人可选择现场递交报价文件或邮寄报价文件，其中：</w:t>
      </w:r>
    </w:p>
    <w:p>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现场递交报价文件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报价人须委派法定代表人或授权委托人</w:t>
      </w:r>
      <w:r>
        <w:rPr>
          <w:rFonts w:hint="eastAsia" w:ascii="仿宋" w:hAnsi="仿宋" w:eastAsia="仿宋"/>
          <w:sz w:val="32"/>
          <w:szCs w:val="32"/>
          <w:highlight w:val="none"/>
          <w:lang w:val="en-US" w:eastAsia="zh-CN"/>
        </w:rPr>
        <w:t>按时</w:t>
      </w:r>
      <w:r>
        <w:rPr>
          <w:rFonts w:hint="eastAsia" w:ascii="仿宋" w:hAnsi="仿宋" w:eastAsia="仿宋"/>
          <w:sz w:val="32"/>
          <w:szCs w:val="32"/>
          <w:highlight w:val="none"/>
        </w:rPr>
        <w:t>到开标地址提交报价文件并参加开标会议</w:t>
      </w:r>
      <w:r>
        <w:rPr>
          <w:rFonts w:hint="eastAsia" w:ascii="仿宋" w:hAnsi="仿宋" w:eastAsia="仿宋"/>
          <w:sz w:val="32"/>
          <w:szCs w:val="32"/>
          <w:highlight w:val="none"/>
          <w:lang w:eastAsia="zh-CN"/>
        </w:rPr>
        <w:t>，</w:t>
      </w:r>
      <w:r>
        <w:rPr>
          <w:rFonts w:hint="eastAsia" w:ascii="仿宋" w:hAnsi="仿宋" w:eastAsia="仿宋"/>
          <w:sz w:val="32"/>
          <w:szCs w:val="32"/>
          <w:highlight w:val="none"/>
        </w:rPr>
        <w:t>开标时间后</w:t>
      </w:r>
      <w:r>
        <w:rPr>
          <w:rFonts w:hint="eastAsia" w:ascii="仿宋" w:hAnsi="仿宋" w:eastAsia="仿宋"/>
          <w:sz w:val="32"/>
          <w:szCs w:val="32"/>
          <w:highlight w:val="none"/>
          <w:lang w:val="en-US" w:eastAsia="zh-CN"/>
        </w:rPr>
        <w:t>到达</w:t>
      </w:r>
      <w:r>
        <w:rPr>
          <w:rFonts w:hint="eastAsia" w:ascii="仿宋" w:hAnsi="仿宋" w:eastAsia="仿宋"/>
          <w:sz w:val="32"/>
          <w:szCs w:val="32"/>
          <w:highlight w:val="none"/>
        </w:rPr>
        <w:t>的</w:t>
      </w:r>
      <w:r>
        <w:rPr>
          <w:rFonts w:hint="eastAsia" w:ascii="仿宋" w:hAnsi="仿宋" w:eastAsia="仿宋"/>
          <w:sz w:val="32"/>
          <w:szCs w:val="32"/>
          <w:highlight w:val="none"/>
          <w:lang w:val="en-US" w:eastAsia="zh-CN"/>
        </w:rPr>
        <w:t>拒收报价文件</w:t>
      </w:r>
      <w:r>
        <w:rPr>
          <w:rFonts w:hint="eastAsia" w:ascii="仿宋" w:hAnsi="仿宋" w:eastAsia="仿宋"/>
          <w:sz w:val="32"/>
          <w:szCs w:val="32"/>
          <w:highlight w:val="none"/>
        </w:rPr>
        <w:t>。</w:t>
      </w:r>
    </w:p>
    <w:p>
      <w:pPr>
        <w:spacing w:line="360" w:lineRule="auto"/>
        <w:ind w:firstLine="640" w:firstLineChars="200"/>
        <w:outlineLvl w:val="1"/>
        <w:rPr>
          <w:rFonts w:hint="eastAsia" w:ascii="仿宋" w:hAnsi="仿宋" w:eastAsia="仿宋"/>
          <w:sz w:val="32"/>
          <w:szCs w:val="32"/>
          <w:highlight w:val="none"/>
          <w:lang w:val="en-US" w:eastAsia="zh-CN"/>
        </w:rPr>
      </w:pPr>
      <w:r>
        <w:rPr>
          <w:rFonts w:hint="eastAsia" w:ascii="仿宋" w:hAnsi="仿宋" w:eastAsia="仿宋"/>
          <w:sz w:val="32"/>
          <w:szCs w:val="32"/>
          <w:highlight w:val="none"/>
        </w:rPr>
        <w:t>报价人提交报价文件地址：东莞市麻涌镇大步村海心沙岛</w:t>
      </w:r>
      <w:r>
        <w:rPr>
          <w:rFonts w:hint="eastAsia" w:ascii="仿宋" w:hAnsi="仿宋" w:eastAsia="仿宋"/>
          <w:sz w:val="32"/>
          <w:szCs w:val="32"/>
          <w:highlight w:val="none"/>
          <w:lang w:val="en-US" w:eastAsia="zh-CN"/>
        </w:rPr>
        <w:t>东莞市新东元环保投资有限公司二楼</w:t>
      </w:r>
      <w:r>
        <w:rPr>
          <w:rFonts w:hint="eastAsia" w:ascii="仿宋" w:hAnsi="仿宋" w:eastAsia="仿宋"/>
          <w:sz w:val="32"/>
          <w:szCs w:val="32"/>
          <w:highlight w:val="none"/>
        </w:rPr>
        <w:t>会议室（</w:t>
      </w:r>
      <w:r>
        <w:rPr>
          <w:rFonts w:hint="eastAsia" w:ascii="仿宋" w:hAnsi="仿宋" w:eastAsia="仿宋"/>
          <w:sz w:val="32"/>
          <w:szCs w:val="32"/>
          <w:highlight w:val="none"/>
          <w:lang w:val="en-US" w:eastAsia="zh-CN"/>
        </w:rPr>
        <w:t>路线指导图如下</w:t>
      </w:r>
      <w:r>
        <w:rPr>
          <w:rFonts w:hint="eastAsia"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逾期无效。</w:t>
      </w:r>
    </w:p>
    <w:p>
      <w:pPr>
        <w:pStyle w:val="2"/>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2）邮寄</w:t>
      </w:r>
      <w:r>
        <w:rPr>
          <w:rFonts w:hint="eastAsia" w:ascii="仿宋" w:hAnsi="仿宋" w:eastAsia="仿宋"/>
          <w:sz w:val="32"/>
          <w:szCs w:val="32"/>
          <w:highlight w:val="none"/>
        </w:rPr>
        <w:t>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必须确保响应文件密封完好，在开标截止时间前一日送达采购人处，须使用顺丰速运提前寄送（运费自理，采购人拒收到付件），因邮寄造成响应文件破损无效或文件丢失的责任由报价人自负，因快递派件人员无工作证等原因（如顺丰即日达）造成快递派件问题的责任由报价人自负，开标时间后送达的响应文件无效。</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收件地址：东莞市麻涌镇大步村海心沙岛东莞市新东元环保投资有限公司二楼</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联系人：徐小姐</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联系电话：0769-</w:t>
      </w:r>
      <w:r>
        <w:rPr>
          <w:highlight w:val="none"/>
        </w:rPr>
        <w:t xml:space="preserve"> </w:t>
      </w:r>
      <w:r>
        <w:rPr>
          <w:rFonts w:ascii="仿宋" w:hAnsi="仿宋" w:eastAsia="仿宋"/>
          <w:sz w:val="32"/>
          <w:szCs w:val="32"/>
          <w:highlight w:val="none"/>
        </w:rPr>
        <w:t>81219261-</w:t>
      </w:r>
      <w:r>
        <w:rPr>
          <w:highlight w:val="none"/>
        </w:rPr>
        <w:t xml:space="preserve"> </w:t>
      </w:r>
      <w:r>
        <w:rPr>
          <w:rFonts w:ascii="仿宋" w:hAnsi="仿宋" w:eastAsia="仿宋"/>
          <w:sz w:val="32"/>
          <w:szCs w:val="32"/>
          <w:highlight w:val="none"/>
        </w:rPr>
        <w:t>6010</w:t>
      </w:r>
    </w:p>
    <w:p>
      <w:pPr>
        <w:spacing w:line="360" w:lineRule="auto"/>
        <w:ind w:firstLine="422" w:firstLineChars="200"/>
        <w:outlineLvl w:val="1"/>
        <w:rPr>
          <w:rFonts w:ascii="仿宋" w:hAnsi="仿宋" w:eastAsia="仿宋"/>
          <w:b/>
          <w:bCs/>
          <w:sz w:val="32"/>
          <w:szCs w:val="32"/>
          <w:highlight w:val="none"/>
        </w:rPr>
      </w:pPr>
      <w:r>
        <w:rPr>
          <w:rFonts w:hint="eastAsia"/>
          <w:b/>
          <w:color w:val="000000"/>
          <w:highlight w:val="none"/>
        </w:rPr>
        <w:t>★</w:t>
      </w:r>
      <w:r>
        <w:rPr>
          <w:rFonts w:ascii="仿宋" w:hAnsi="仿宋" w:eastAsia="仿宋"/>
          <w:b/>
          <w:bCs/>
          <w:sz w:val="32"/>
          <w:szCs w:val="32"/>
          <w:highlight w:val="none"/>
        </w:rPr>
        <w:t>十</w:t>
      </w:r>
      <w:r>
        <w:rPr>
          <w:rFonts w:hint="eastAsia" w:ascii="仿宋" w:hAnsi="仿宋" w:eastAsia="仿宋"/>
          <w:b/>
          <w:bCs/>
          <w:sz w:val="32"/>
          <w:szCs w:val="32"/>
          <w:highlight w:val="none"/>
        </w:rPr>
        <w:t>四</w:t>
      </w:r>
      <w:r>
        <w:rPr>
          <w:rFonts w:ascii="仿宋" w:hAnsi="仿宋" w:eastAsia="仿宋"/>
          <w:b/>
          <w:bCs/>
          <w:sz w:val="32"/>
          <w:szCs w:val="32"/>
          <w:highlight w:val="none"/>
        </w:rPr>
        <w:t>、注意事项</w:t>
      </w:r>
    </w:p>
    <w:p>
      <w:pPr>
        <w:spacing w:line="360" w:lineRule="auto"/>
        <w:ind w:firstLine="640" w:firstLineChars="200"/>
        <w:outlineLvl w:val="1"/>
        <w:rPr>
          <w:rFonts w:ascii="仿宋" w:hAnsi="仿宋" w:eastAsia="仿宋" w:cs="仿宋"/>
          <w:color w:val="000000"/>
          <w:sz w:val="32"/>
          <w:szCs w:val="32"/>
          <w:highlight w:val="none"/>
        </w:rPr>
      </w:pPr>
      <w:bookmarkStart w:id="23" w:name="_Hlk517879660"/>
      <w:r>
        <w:rPr>
          <w:rFonts w:hint="eastAsia" w:ascii="仿宋" w:hAnsi="仿宋" w:eastAsia="仿宋" w:cs="仿宋"/>
          <w:color w:val="000000"/>
          <w:sz w:val="32"/>
          <w:szCs w:val="32"/>
          <w:highlight w:val="none"/>
        </w:rPr>
        <w:t>1、若报价人未按规定时间递交响应文件，视为放弃报价资格。</w:t>
      </w:r>
    </w:p>
    <w:p>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2、报价人如未按要求交纳保证金，则视为放弃报价/成交资格。</w:t>
      </w:r>
    </w:p>
    <w:p>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3、采购人向报价人提供的有关资料和数据，是采购人现有的能使报价人利用的资料，采购人对报价人由此而做出的推论、理解和结论概不负责。</w:t>
      </w:r>
    </w:p>
    <w:p>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4、本项目执行过程中将遵循国家、省、市有关法律、法规、标准、技术规范和规范性文件的最新规定。</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5、本项目仅可提交一个报价方案，提交两个或以上报价方案的报价人视为无效报价。</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6、本项目不接受报价人其他附加条件。</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7、有下列情形之一的，报价保证金将被没收，并纳入采购人供应商黑名单：</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1）中标后无正当理由放弃中标或不与采购人签订合同。</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2）成交人将本项目转让给他人，或者在报价文件中未说明，且未经采购人同意，将中标项目分包给他人。</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3）报价人提供虚假报价文件或虚假补充文件。</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8、有下列情形之一的，视为报价人串通询价，其响应无效：</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（1）不同报价人的响应文件由同一单位或者个人编制；</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（2）不同报价人委托同一单位或者个人办理响应事宜；</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（3）不同报价人的响应文件载明的项目管理成员或者联系人员为同一人；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（4）不同报价人的响应文件异常一致或者响应报价呈规律性差异；</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（5）不同报价人的响应文件相互混装；</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（6）不同报价人的响应保证金从同一单位或者个人的账户转出。</w:t>
      </w:r>
    </w:p>
    <w:p>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textAlignment w:val="auto"/>
        <w:outlineLvl w:val="1"/>
        <w:rPr>
          <w:rFonts w:ascii="仿宋" w:hAnsi="仿宋" w:eastAsia="仿宋"/>
          <w:sz w:val="32"/>
          <w:szCs w:val="32"/>
          <w:highlight w:val="none"/>
        </w:rPr>
      </w:pPr>
      <w:r>
        <w:rPr>
          <w:rFonts w:hint="eastAsia" w:ascii="仿宋" w:hAnsi="仿宋" w:eastAsia="仿宋" w:cs="仿宋"/>
          <w:color w:val="000000"/>
          <w:sz w:val="32"/>
          <w:szCs w:val="32"/>
          <w:highlight w:val="none"/>
        </w:rPr>
        <w:t>9、已列入采购人及上级单位部门黑名单的报价人视为无效报价。</w:t>
      </w:r>
      <w:bookmarkEnd w:id="23"/>
    </w:p>
    <w:p>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pPr>
        <w:keepNext w:val="0"/>
        <w:keepLines w:val="0"/>
        <w:pageBreakBefore w:val="0"/>
        <w:widowControl w:val="0"/>
        <w:kinsoku/>
        <w:wordWrap/>
        <w:overflowPunct/>
        <w:topLinePunct w:val="0"/>
        <w:autoSpaceDE/>
        <w:autoSpaceDN/>
        <w:bidi w:val="0"/>
        <w:adjustRightInd/>
        <w:snapToGrid w:val="0"/>
        <w:spacing w:before="156" w:line="324" w:lineRule="auto"/>
        <w:ind w:right="84" w:firstLine="4480" w:firstLineChars="14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3</w:t>
      </w:r>
      <w:r>
        <w:rPr>
          <w:rFonts w:hint="eastAsia" w:eastAsia="仿宋_GB2312"/>
          <w:sz w:val="32"/>
          <w:szCs w:val="32"/>
          <w:highlight w:val="none"/>
        </w:rPr>
        <w:t>年</w:t>
      </w:r>
      <w:r>
        <w:rPr>
          <w:rFonts w:hint="eastAsia" w:eastAsia="仿宋_GB2312"/>
          <w:sz w:val="32"/>
          <w:szCs w:val="32"/>
          <w:highlight w:val="none"/>
          <w:lang w:val="en-US" w:eastAsia="zh-CN"/>
        </w:rPr>
        <w:t xml:space="preserve">  </w:t>
      </w:r>
      <w:r>
        <w:rPr>
          <w:rFonts w:hint="eastAsia" w:eastAsia="仿宋_GB2312"/>
          <w:sz w:val="32"/>
          <w:szCs w:val="32"/>
          <w:highlight w:val="none"/>
        </w:rPr>
        <w:t>月</w:t>
      </w:r>
      <w:r>
        <w:rPr>
          <w:rFonts w:hint="eastAsia" w:eastAsia="仿宋_GB2312"/>
          <w:sz w:val="32"/>
          <w:szCs w:val="32"/>
          <w:highlight w:val="none"/>
          <w:lang w:val="en-US" w:eastAsia="zh-CN"/>
        </w:rPr>
        <w:t xml:space="preserve">  </w:t>
      </w:r>
      <w:r>
        <w:rPr>
          <w:rFonts w:hint="eastAsia" w:eastAsia="仿宋_GB2312"/>
          <w:sz w:val="32"/>
          <w:szCs w:val="32"/>
          <w:highlight w:val="none"/>
        </w:rPr>
        <w:t>日</w:t>
      </w:r>
    </w:p>
    <w:p>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pPr>
        <w:pStyle w:val="28"/>
        <w:numPr>
          <w:ilvl w:val="0"/>
          <w:numId w:val="2"/>
        </w:numPr>
        <w:spacing w:line="360" w:lineRule="auto"/>
        <w:ind w:firstLineChars="0"/>
        <w:outlineLvl w:val="1"/>
        <w:rPr>
          <w:rFonts w:ascii="仿宋" w:hAnsi="仿宋" w:eastAsia="仿宋"/>
          <w:b/>
          <w:bCs/>
          <w:sz w:val="28"/>
          <w:szCs w:val="44"/>
          <w:highlight w:val="none"/>
        </w:rPr>
      </w:pPr>
      <w:bookmarkStart w:id="24" w:name="_Toc7977_WPSOffice_Level1"/>
      <w:bookmarkStart w:id="25" w:name="_Hlk524442005"/>
      <w:r>
        <w:rPr>
          <w:rFonts w:hint="eastAsia" w:ascii="仿宋" w:hAnsi="仿宋" w:eastAsia="仿宋"/>
          <w:b/>
          <w:bCs/>
          <w:sz w:val="28"/>
          <w:szCs w:val="44"/>
          <w:highlight w:val="none"/>
        </w:rPr>
        <w:t>密封文件袋封面</w:t>
      </w:r>
      <w:bookmarkEnd w:id="24"/>
    </w:p>
    <w:p>
      <w:pPr>
        <w:pStyle w:val="28"/>
        <w:spacing w:line="360" w:lineRule="auto"/>
        <w:ind w:firstLine="0" w:firstLineChars="0"/>
        <w:outlineLvl w:val="1"/>
        <w:rPr>
          <w:rFonts w:ascii="仿宋" w:hAnsi="仿宋" w:eastAsia="仿宋"/>
          <w:b/>
          <w:bCs/>
          <w:sz w:val="28"/>
          <w:szCs w:val="44"/>
          <w:highlight w:val="none"/>
        </w:rPr>
      </w:pPr>
    </w:p>
    <w:p>
      <w:pPr>
        <w:rPr>
          <w:rFonts w:ascii="仿宋" w:hAnsi="仿宋" w:eastAsia="仿宋"/>
          <w:b/>
          <w:bCs/>
          <w:sz w:val="52"/>
          <w:szCs w:val="52"/>
          <w:highlight w:val="none"/>
        </w:rPr>
      </w:pPr>
      <w:bookmarkStart w:id="26" w:name="_Toc406_WPSOffice_Level2"/>
    </w:p>
    <w:bookmarkEnd w:id="26"/>
    <w:p>
      <w:pPr>
        <w:jc w:val="center"/>
        <w:rPr>
          <w:rFonts w:hint="eastAsia" w:ascii="仿宋" w:hAnsi="仿宋" w:eastAsia="仿宋"/>
          <w:b/>
          <w:bCs/>
          <w:sz w:val="52"/>
          <w:szCs w:val="52"/>
          <w:highlight w:val="none"/>
          <w:lang w:eastAsia="zh-CN"/>
        </w:rPr>
      </w:pPr>
      <w:bookmarkStart w:id="27" w:name="_Toc21841_WPSOffice_Level2"/>
      <w:r>
        <w:rPr>
          <w:rFonts w:hint="eastAsia" w:ascii="仿宋" w:hAnsi="仿宋" w:eastAsia="仿宋"/>
          <w:b/>
          <w:bCs/>
          <w:sz w:val="48"/>
          <w:szCs w:val="48"/>
          <w:highlight w:val="none"/>
          <w:lang w:eastAsia="zh-CN"/>
        </w:rPr>
        <w:t>东莞市海心沙资源综合利用中心环保热电厂生产物资采购项目（第</w:t>
      </w:r>
      <w:r>
        <w:rPr>
          <w:rFonts w:hint="eastAsia" w:ascii="仿宋" w:hAnsi="仿宋" w:eastAsia="仿宋"/>
          <w:b/>
          <w:bCs/>
          <w:sz w:val="48"/>
          <w:szCs w:val="48"/>
          <w:highlight w:val="none"/>
          <w:lang w:val="en-US" w:eastAsia="zh-CN"/>
        </w:rPr>
        <w:t>13</w:t>
      </w:r>
      <w:r>
        <w:rPr>
          <w:rFonts w:hint="eastAsia" w:ascii="仿宋" w:hAnsi="仿宋" w:eastAsia="仿宋"/>
          <w:b/>
          <w:bCs/>
          <w:sz w:val="48"/>
          <w:szCs w:val="48"/>
          <w:highlight w:val="none"/>
          <w:lang w:eastAsia="zh-CN"/>
        </w:rPr>
        <w:t>批）</w:t>
      </w:r>
    </w:p>
    <w:p>
      <w:pPr>
        <w:jc w:val="center"/>
        <w:rPr>
          <w:rFonts w:ascii="仿宋" w:hAnsi="仿宋" w:eastAsia="仿宋"/>
          <w:b/>
          <w:bCs/>
          <w:sz w:val="52"/>
          <w:szCs w:val="52"/>
          <w:highlight w:val="none"/>
        </w:rPr>
      </w:pPr>
    </w:p>
    <w:p>
      <w:pPr>
        <w:jc w:val="center"/>
        <w:rPr>
          <w:rFonts w:ascii="仿宋" w:hAnsi="仿宋" w:eastAsia="仿宋"/>
          <w:b/>
          <w:bCs/>
          <w:sz w:val="52"/>
          <w:szCs w:val="52"/>
          <w:highlight w:val="none"/>
        </w:rPr>
      </w:pPr>
      <w:r>
        <w:rPr>
          <w:rFonts w:hint="eastAsia" w:ascii="仿宋" w:hAnsi="仿宋" w:eastAsia="仿宋"/>
          <w:b/>
          <w:bCs/>
          <w:sz w:val="52"/>
          <w:szCs w:val="52"/>
          <w:highlight w:val="none"/>
        </w:rPr>
        <w:t>报价文件</w:t>
      </w:r>
      <w:bookmarkEnd w:id="27"/>
    </w:p>
    <w:p>
      <w:pPr>
        <w:rPr>
          <w:rFonts w:ascii="仿宋" w:hAnsi="仿宋" w:eastAsia="仿宋"/>
          <w:sz w:val="32"/>
          <w:szCs w:val="32"/>
          <w:highlight w:val="none"/>
        </w:rPr>
      </w:pPr>
    </w:p>
    <w:p>
      <w:pPr>
        <w:rPr>
          <w:rFonts w:ascii="仿宋" w:hAnsi="仿宋" w:eastAsia="仿宋"/>
          <w:sz w:val="32"/>
          <w:szCs w:val="32"/>
          <w:highlight w:val="none"/>
        </w:rPr>
      </w:pPr>
    </w:p>
    <w:p>
      <w:pPr>
        <w:rPr>
          <w:rFonts w:ascii="仿宋" w:hAnsi="仿宋" w:eastAsia="仿宋"/>
          <w:sz w:val="32"/>
          <w:szCs w:val="32"/>
          <w:highlight w:val="none"/>
        </w:rPr>
      </w:pPr>
    </w:p>
    <w:p>
      <w:pPr>
        <w:rPr>
          <w:rFonts w:ascii="仿宋" w:hAnsi="仿宋" w:eastAsia="仿宋"/>
          <w:sz w:val="32"/>
          <w:szCs w:val="32"/>
          <w:highlight w:val="none"/>
        </w:rPr>
      </w:pPr>
    </w:p>
    <w:p>
      <w:pPr>
        <w:ind w:firstLine="566" w:firstLineChars="177"/>
        <w:rPr>
          <w:rFonts w:ascii="仿宋" w:hAnsi="仿宋" w:eastAsia="仿宋"/>
          <w:sz w:val="32"/>
          <w:szCs w:val="32"/>
          <w:highlight w:val="none"/>
        </w:rPr>
      </w:pPr>
      <w:r>
        <w:rPr>
          <w:rFonts w:hint="eastAsia" w:ascii="仿宋" w:hAnsi="仿宋" w:eastAsia="仿宋"/>
          <w:sz w:val="32"/>
          <w:szCs w:val="32"/>
          <w:highlight w:val="none"/>
        </w:rPr>
        <w:t>报价人名称（加盖公章）：</w:t>
      </w:r>
      <w:r>
        <w:rPr>
          <w:rFonts w:ascii="仿宋" w:hAnsi="仿宋" w:eastAsia="仿宋"/>
          <w:sz w:val="32"/>
          <w:szCs w:val="32"/>
          <w:highlight w:val="none"/>
          <w:u w:val="single"/>
        </w:rPr>
        <w:t xml:space="preserve">                 </w:t>
      </w:r>
    </w:p>
    <w:p>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pPr>
        <w:pStyle w:val="28"/>
        <w:numPr>
          <w:ilvl w:val="255"/>
          <w:numId w:val="0"/>
        </w:numPr>
        <w:spacing w:line="360" w:lineRule="auto"/>
        <w:outlineLvl w:val="1"/>
        <w:rPr>
          <w:rFonts w:ascii="仿宋" w:hAnsi="仿宋" w:eastAsia="仿宋"/>
          <w:b/>
          <w:bCs/>
          <w:sz w:val="28"/>
          <w:szCs w:val="44"/>
          <w:highlight w:val="none"/>
        </w:rPr>
      </w:pPr>
    </w:p>
    <w:p>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pPr>
        <w:pStyle w:val="28"/>
        <w:numPr>
          <w:ilvl w:val="0"/>
          <w:numId w:val="2"/>
        </w:numPr>
        <w:spacing w:line="360" w:lineRule="auto"/>
        <w:ind w:firstLineChars="0"/>
        <w:outlineLvl w:val="1"/>
        <w:rPr>
          <w:rFonts w:ascii="仿宋" w:hAnsi="仿宋" w:eastAsia="仿宋"/>
          <w:b/>
          <w:bCs/>
          <w:sz w:val="28"/>
          <w:szCs w:val="44"/>
          <w:highlight w:val="none"/>
        </w:rPr>
      </w:pPr>
      <w:bookmarkStart w:id="28" w:name="_Toc25465_WPSOffice_Level1"/>
      <w:r>
        <w:rPr>
          <w:rFonts w:ascii="仿宋" w:hAnsi="仿宋" w:eastAsia="仿宋"/>
          <w:b/>
          <w:bCs/>
          <w:sz w:val="28"/>
          <w:szCs w:val="44"/>
          <w:highlight w:val="none"/>
        </w:rPr>
        <w:t>报价函</w:t>
      </w:r>
      <w:bookmarkEnd w:id="28"/>
    </w:p>
    <w:p>
      <w:pPr>
        <w:spacing w:line="360" w:lineRule="auto"/>
        <w:jc w:val="center"/>
        <w:rPr>
          <w:rFonts w:ascii="仿宋" w:hAnsi="仿宋" w:eastAsia="仿宋"/>
          <w:sz w:val="44"/>
          <w:szCs w:val="44"/>
          <w:highlight w:val="none"/>
        </w:rPr>
      </w:pPr>
      <w:bookmarkStart w:id="29" w:name="_Toc7726_WPSOffice_Level1"/>
      <w:r>
        <w:rPr>
          <w:rFonts w:ascii="仿宋" w:hAnsi="仿宋" w:eastAsia="仿宋"/>
          <w:sz w:val="44"/>
          <w:szCs w:val="44"/>
          <w:highlight w:val="none"/>
        </w:rPr>
        <w:t>报价函</w:t>
      </w:r>
      <w:bookmarkEnd w:id="29"/>
    </w:p>
    <w:p>
      <w:pPr>
        <w:spacing w:line="360" w:lineRule="auto"/>
        <w:ind w:firstLine="560"/>
        <w:rPr>
          <w:rFonts w:ascii="仿宋" w:hAnsi="仿宋" w:eastAsia="仿宋"/>
          <w:sz w:val="32"/>
          <w:szCs w:val="32"/>
          <w:highlight w:val="none"/>
        </w:rPr>
      </w:pPr>
    </w:p>
    <w:p>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ascii="仿宋" w:hAnsi="仿宋" w:eastAsia="仿宋"/>
          <w:sz w:val="32"/>
          <w:szCs w:val="32"/>
          <w:highlight w:val="none"/>
          <w:lang w:eastAsia="zh-CN"/>
        </w:rPr>
        <w:t>东莞市海心沙资源综合利用中心环保热电厂生产物资采购项目（第</w:t>
      </w:r>
      <w:r>
        <w:rPr>
          <w:rFonts w:hint="eastAsia" w:ascii="仿宋" w:hAnsi="仿宋" w:eastAsia="仿宋"/>
          <w:sz w:val="32"/>
          <w:szCs w:val="32"/>
          <w:highlight w:val="none"/>
          <w:lang w:val="en-US" w:eastAsia="zh-CN"/>
        </w:rPr>
        <w:t>13</w:t>
      </w:r>
      <w:r>
        <w:rPr>
          <w:rFonts w:hint="eastAsia" w:ascii="仿宋" w:hAnsi="仿宋" w:eastAsia="仿宋"/>
          <w:sz w:val="32"/>
          <w:szCs w:val="32"/>
          <w:highlight w:val="none"/>
          <w:lang w:eastAsia="zh-CN"/>
        </w:rPr>
        <w:t>批）</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pPr>
        <w:wordWrap w:val="0"/>
        <w:spacing w:line="360" w:lineRule="auto"/>
        <w:rPr>
          <w:rFonts w:ascii="仿宋" w:hAnsi="仿宋" w:eastAsia="仿宋"/>
          <w:sz w:val="32"/>
          <w:szCs w:val="32"/>
          <w:highlight w:val="none"/>
        </w:rPr>
      </w:pPr>
    </w:p>
    <w:p>
      <w:pPr>
        <w:widowControl/>
        <w:jc w:val="left"/>
        <w:rPr>
          <w:rFonts w:ascii="仿宋" w:hAnsi="仿宋" w:eastAsia="仿宋"/>
          <w:sz w:val="44"/>
          <w:szCs w:val="44"/>
          <w:highlight w:val="none"/>
        </w:rPr>
      </w:pPr>
      <w:bookmarkStart w:id="30" w:name="_Toc20373_WPSOffice_Level1"/>
      <w:r>
        <w:rPr>
          <w:rFonts w:ascii="仿宋" w:hAnsi="仿宋" w:eastAsia="仿宋"/>
          <w:sz w:val="44"/>
          <w:szCs w:val="44"/>
          <w:highlight w:val="none"/>
        </w:rPr>
        <w:br w:type="page"/>
      </w:r>
    </w:p>
    <w:bookmarkEnd w:id="30"/>
    <w:p>
      <w:pPr>
        <w:pStyle w:val="28"/>
        <w:numPr>
          <w:ilvl w:val="0"/>
          <w:numId w:val="2"/>
        </w:numPr>
        <w:spacing w:line="360" w:lineRule="auto"/>
        <w:ind w:firstLineChars="0"/>
        <w:outlineLvl w:val="1"/>
        <w:rPr>
          <w:rFonts w:ascii="仿宋" w:hAnsi="仿宋" w:eastAsia="仿宋"/>
          <w:b/>
          <w:bCs/>
          <w:sz w:val="28"/>
          <w:szCs w:val="44"/>
          <w:highlight w:val="none"/>
        </w:rPr>
      </w:pPr>
      <w:bookmarkStart w:id="31" w:name="_Toc28030_WPSOffice_Level1"/>
      <w:r>
        <w:rPr>
          <w:rFonts w:ascii="仿宋" w:hAnsi="仿宋" w:eastAsia="仿宋"/>
          <w:b/>
          <w:bCs/>
          <w:sz w:val="28"/>
          <w:szCs w:val="44"/>
          <w:highlight w:val="none"/>
        </w:rPr>
        <w:t>法人证明</w:t>
      </w:r>
      <w:bookmarkEnd w:id="31"/>
    </w:p>
    <w:p>
      <w:pPr>
        <w:spacing w:line="360" w:lineRule="auto"/>
        <w:jc w:val="center"/>
        <w:rPr>
          <w:rFonts w:ascii="仿宋" w:hAnsi="仿宋" w:eastAsia="仿宋"/>
          <w:b/>
          <w:bCs/>
          <w:sz w:val="32"/>
          <w:szCs w:val="32"/>
          <w:highlight w:val="none"/>
        </w:rPr>
      </w:pPr>
      <w:bookmarkStart w:id="32" w:name="_Toc7977_WPSOffice_Level2"/>
      <w:r>
        <w:rPr>
          <w:rFonts w:ascii="仿宋" w:hAnsi="仿宋" w:eastAsia="仿宋"/>
          <w:b/>
          <w:bCs/>
          <w:sz w:val="32"/>
          <w:szCs w:val="32"/>
          <w:highlight w:val="none"/>
        </w:rPr>
        <w:t>法定代表人身份证明书</w:t>
      </w:r>
      <w:bookmarkEnd w:id="32"/>
    </w:p>
    <w:p>
      <w:pPr>
        <w:spacing w:line="360" w:lineRule="auto"/>
        <w:rPr>
          <w:rFonts w:ascii="仿宋" w:hAnsi="仿宋" w:eastAsia="仿宋"/>
          <w:sz w:val="32"/>
          <w:szCs w:val="32"/>
          <w:highlight w:val="none"/>
        </w:rPr>
      </w:pPr>
    </w:p>
    <w:p>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地址：</w:t>
      </w:r>
    </w:p>
    <w:p>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pPr>
        <w:spacing w:line="360" w:lineRule="auto"/>
        <w:rPr>
          <w:rFonts w:ascii="仿宋" w:hAnsi="仿宋" w:eastAsia="仿宋"/>
          <w:sz w:val="32"/>
          <w:szCs w:val="32"/>
          <w:highlight w:val="none"/>
        </w:rPr>
      </w:pPr>
      <w:r>
        <w:rPr>
          <w:rFonts w:ascii="仿宋" w:hAnsi="仿宋" w:eastAsia="仿宋"/>
          <w:sz w:val="32"/>
          <w:szCs w:val="32"/>
          <w:highlight w:val="none"/>
        </w:rPr>
        <w:t>职务：</w:t>
      </w:r>
    </w:p>
    <w:p>
      <w:pPr>
        <w:widowControl/>
        <w:jc w:val="left"/>
        <w:rPr>
          <w:rFonts w:ascii="仿宋" w:hAnsi="仿宋" w:eastAsia="仿宋"/>
          <w:sz w:val="32"/>
          <w:szCs w:val="32"/>
          <w:highlight w:val="none"/>
        </w:rPr>
      </w:pPr>
      <w:r>
        <w:rPr>
          <w:rFonts w:ascii="仿宋" w:hAnsi="仿宋" w:eastAsia="仿宋"/>
          <w:sz w:val="32"/>
          <w:szCs w:val="32"/>
          <w:highlight w:val="none"/>
        </w:rPr>
        <w:br w:type="page"/>
      </w:r>
    </w:p>
    <w:p>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3" w:name="_Toc384752807"/>
    </w:p>
    <w:p>
      <w:pPr>
        <w:pStyle w:val="28"/>
        <w:numPr>
          <w:ilvl w:val="0"/>
          <w:numId w:val="2"/>
        </w:numPr>
        <w:spacing w:line="360" w:lineRule="auto"/>
        <w:ind w:firstLineChars="0"/>
        <w:outlineLvl w:val="1"/>
        <w:rPr>
          <w:rFonts w:ascii="仿宋" w:hAnsi="仿宋" w:eastAsia="仿宋"/>
          <w:b/>
          <w:bCs/>
          <w:sz w:val="28"/>
          <w:szCs w:val="44"/>
          <w:highlight w:val="none"/>
        </w:rPr>
      </w:pPr>
      <w:bookmarkStart w:id="34" w:name="_Toc14680_WPSOffice_Level1"/>
      <w:r>
        <w:rPr>
          <w:rFonts w:ascii="仿宋" w:hAnsi="仿宋" w:eastAsia="仿宋"/>
          <w:b/>
          <w:bCs/>
          <w:sz w:val="28"/>
          <w:szCs w:val="44"/>
          <w:highlight w:val="none"/>
        </w:rPr>
        <w:t>法人授权书</w:t>
      </w:r>
      <w:bookmarkEnd w:id="34"/>
    </w:p>
    <w:p>
      <w:pPr>
        <w:widowControl/>
        <w:spacing w:line="360" w:lineRule="auto"/>
        <w:jc w:val="center"/>
        <w:rPr>
          <w:rFonts w:ascii="仿宋" w:hAnsi="仿宋" w:eastAsia="仿宋"/>
          <w:sz w:val="32"/>
          <w:szCs w:val="32"/>
          <w:highlight w:val="none"/>
        </w:rPr>
      </w:pPr>
      <w:bookmarkStart w:id="35" w:name="_Toc25465_WPSOffice_Level2"/>
      <w:r>
        <w:rPr>
          <w:rFonts w:ascii="仿宋" w:hAnsi="仿宋" w:eastAsia="仿宋"/>
          <w:b/>
          <w:sz w:val="32"/>
          <w:szCs w:val="32"/>
          <w:highlight w:val="none"/>
        </w:rPr>
        <w:t>授权委托书</w:t>
      </w:r>
      <w:bookmarkEnd w:id="33"/>
      <w:bookmarkEnd w:id="35"/>
    </w:p>
    <w:p>
      <w:pPr>
        <w:pStyle w:val="21"/>
        <w:spacing w:line="360" w:lineRule="auto"/>
        <w:ind w:firstLine="0" w:firstLineChars="0"/>
        <w:rPr>
          <w:rFonts w:ascii="仿宋" w:hAnsi="仿宋" w:eastAsia="仿宋" w:cs="Times New Roman"/>
          <w:sz w:val="32"/>
          <w:szCs w:val="32"/>
          <w:highlight w:val="none"/>
        </w:rPr>
      </w:pPr>
    </w:p>
    <w:p>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填写报价人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ascii="仿宋" w:hAnsi="仿宋" w:eastAsia="仿宋" w:cs="Times New Roman"/>
          <w:sz w:val="32"/>
          <w:szCs w:val="32"/>
          <w:highlight w:val="none"/>
          <w:lang w:eastAsia="zh-CN"/>
        </w:rPr>
        <w:t>东莞市海心沙资源综合利用中心环保热电厂生产物资采购项目（第</w:t>
      </w:r>
      <w:r>
        <w:rPr>
          <w:rFonts w:hint="eastAsia" w:ascii="仿宋" w:hAnsi="仿宋" w:eastAsia="仿宋" w:cs="Times New Roman"/>
          <w:sz w:val="32"/>
          <w:szCs w:val="32"/>
          <w:highlight w:val="none"/>
          <w:lang w:val="en-US" w:eastAsia="zh-CN"/>
        </w:rPr>
        <w:t>13</w:t>
      </w:r>
      <w:r>
        <w:rPr>
          <w:rFonts w:hint="eastAsia" w:ascii="仿宋" w:hAnsi="仿宋" w:eastAsia="仿宋" w:cs="Times New Roman"/>
          <w:sz w:val="32"/>
          <w:szCs w:val="32"/>
          <w:highlight w:val="none"/>
          <w:lang w:eastAsia="zh-CN"/>
        </w:rPr>
        <w:t>批）</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pPr>
        <w:pStyle w:val="21"/>
        <w:spacing w:line="360" w:lineRule="auto"/>
        <w:ind w:firstLine="659"/>
        <w:rPr>
          <w:rFonts w:ascii="仿宋" w:hAnsi="仿宋" w:eastAsia="仿宋" w:cs="Times New Roman"/>
          <w:sz w:val="32"/>
          <w:szCs w:val="32"/>
          <w:highlight w:val="none"/>
        </w:rPr>
      </w:pPr>
    </w:p>
    <w:p>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pPr>
        <w:pStyle w:val="21"/>
        <w:spacing w:line="360" w:lineRule="auto"/>
        <w:ind w:firstLine="659"/>
        <w:rPr>
          <w:rFonts w:ascii="仿宋" w:hAnsi="仿宋" w:eastAsia="仿宋" w:cs="Times New Roman"/>
          <w:sz w:val="32"/>
          <w:szCs w:val="32"/>
          <w:highlight w:val="none"/>
        </w:rPr>
      </w:pPr>
    </w:p>
    <w:p>
      <w:pPr>
        <w:pStyle w:val="21"/>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名称（加盖公章）：</w:t>
      </w:r>
    </w:p>
    <w:p>
      <w:pPr>
        <w:pStyle w:val="21"/>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地址：</w:t>
      </w:r>
    </w:p>
    <w:p>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pPr>
        <w:pStyle w:val="21"/>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pPr>
        <w:pStyle w:val="21"/>
        <w:spacing w:line="360" w:lineRule="auto"/>
        <w:ind w:firstLine="0" w:firstLineChars="0"/>
        <w:rPr>
          <w:rFonts w:ascii="仿宋" w:hAnsi="仿宋" w:eastAsia="仿宋" w:cs="Times New Roman"/>
          <w:sz w:val="32"/>
          <w:szCs w:val="32"/>
          <w:highlight w:val="none"/>
        </w:rPr>
      </w:pPr>
    </w:p>
    <w:p>
      <w:pPr>
        <w:widowControl/>
        <w:jc w:val="left"/>
        <w:rPr>
          <w:rFonts w:ascii="仿宋" w:hAnsi="仿宋" w:eastAsia="仿宋"/>
          <w:sz w:val="32"/>
          <w:szCs w:val="32"/>
          <w:highlight w:val="none"/>
        </w:rPr>
      </w:pPr>
      <w:r>
        <w:rPr>
          <w:rFonts w:ascii="仿宋" w:hAnsi="仿宋" w:eastAsia="仿宋"/>
          <w:sz w:val="32"/>
          <w:szCs w:val="32"/>
          <w:highlight w:val="none"/>
        </w:rPr>
        <w:br w:type="page"/>
      </w:r>
    </w:p>
    <w:p>
      <w:pPr>
        <w:pStyle w:val="28"/>
        <w:numPr>
          <w:ilvl w:val="0"/>
          <w:numId w:val="2"/>
        </w:numPr>
        <w:spacing w:line="360" w:lineRule="auto"/>
        <w:ind w:left="0" w:firstLine="0" w:firstLineChars="0"/>
        <w:jc w:val="left"/>
        <w:outlineLvl w:val="1"/>
        <w:rPr>
          <w:rFonts w:ascii="仿宋" w:hAnsi="仿宋" w:eastAsia="仿宋"/>
          <w:b/>
          <w:bCs/>
          <w:sz w:val="28"/>
          <w:szCs w:val="44"/>
          <w:highlight w:val="none"/>
        </w:rPr>
      </w:pPr>
      <w:bookmarkStart w:id="36" w:name="_Toc28985_WPSOffice_Level1"/>
      <w:bookmarkStart w:id="37" w:name="OLE_LINK11"/>
      <w:r>
        <w:rPr>
          <w:rFonts w:hint="eastAsia" w:ascii="仿宋" w:hAnsi="仿宋" w:eastAsia="仿宋"/>
          <w:b/>
          <w:bCs/>
          <w:sz w:val="28"/>
          <w:szCs w:val="44"/>
          <w:highlight w:val="none"/>
        </w:rPr>
        <w:t>投标人未到场声明</w:t>
      </w:r>
      <w:bookmarkEnd w:id="36"/>
    </w:p>
    <w:bookmarkEnd w:id="37"/>
    <w:p>
      <w:pPr>
        <w:pStyle w:val="28"/>
        <w:ind w:firstLine="0" w:firstLineChars="0"/>
        <w:jc w:val="center"/>
        <w:outlineLvl w:val="1"/>
        <w:rPr>
          <w:rFonts w:eastAsia="仿宋_GB2312"/>
          <w:b/>
          <w:sz w:val="32"/>
          <w:szCs w:val="32"/>
          <w:highlight w:val="none"/>
        </w:rPr>
      </w:pPr>
      <w:bookmarkStart w:id="38" w:name="_Toc7726_WPSOffice_Level2"/>
      <w:r>
        <w:rPr>
          <w:rFonts w:ascii="仿宋_GB2312" w:eastAsia="仿宋_GB2312"/>
          <w:b/>
          <w:sz w:val="32"/>
          <w:szCs w:val="32"/>
          <w:highlight w:val="none"/>
        </w:rPr>
        <w:t>投标人未到场声明</w:t>
      </w:r>
      <w:bookmarkEnd w:id="38"/>
    </w:p>
    <w:p>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w:t>
      </w:r>
      <w:r>
        <w:rPr>
          <w:rFonts w:hint="eastAsia" w:eastAsia="仿宋_GB2312"/>
          <w:sz w:val="32"/>
          <w:szCs w:val="32"/>
          <w:highlight w:val="none"/>
          <w:lang w:eastAsia="zh-CN"/>
        </w:rPr>
        <w:t>东莞市海心沙资源综合利用中心环保热电厂生产物资采购项目（第</w:t>
      </w:r>
      <w:r>
        <w:rPr>
          <w:rFonts w:hint="eastAsia" w:eastAsia="仿宋_GB2312"/>
          <w:sz w:val="32"/>
          <w:szCs w:val="32"/>
          <w:highlight w:val="none"/>
          <w:lang w:val="en-US" w:eastAsia="zh-CN"/>
        </w:rPr>
        <w:t>13</w:t>
      </w:r>
      <w:r>
        <w:rPr>
          <w:rFonts w:hint="eastAsia" w:eastAsia="仿宋_GB2312"/>
          <w:sz w:val="32"/>
          <w:szCs w:val="32"/>
          <w:highlight w:val="none"/>
          <w:lang w:eastAsia="zh-CN"/>
        </w:rPr>
        <w:t>批）</w:t>
      </w:r>
      <w:r>
        <w:rPr>
          <w:rFonts w:hint="eastAsia" w:eastAsia="仿宋_GB2312"/>
          <w:sz w:val="32"/>
          <w:szCs w:val="32"/>
          <w:highlight w:val="none"/>
        </w:rPr>
        <w:t>报价工作，作出郑重说明：</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pPr>
        <w:rPr>
          <w:rFonts w:hint="eastAsia" w:eastAsia="仿宋_GB2312"/>
          <w:sz w:val="32"/>
          <w:szCs w:val="32"/>
          <w:highlight w:val="none"/>
        </w:rPr>
      </w:pPr>
      <w:r>
        <w:rPr>
          <w:rFonts w:hint="eastAsia" w:eastAsia="仿宋_GB2312"/>
          <w:sz w:val="32"/>
          <w:szCs w:val="32"/>
          <w:highlight w:val="none"/>
        </w:rPr>
        <w:br w:type="page"/>
      </w:r>
    </w:p>
    <w:p>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响应承诺函</w:t>
      </w:r>
    </w:p>
    <w:p>
      <w:pPr>
        <w:pStyle w:val="28"/>
        <w:ind w:firstLine="0" w:firstLineChars="0"/>
        <w:jc w:val="center"/>
        <w:rPr>
          <w:rFonts w:hint="eastAsia" w:eastAsia="仿宋_GB2312"/>
          <w:b/>
          <w:color w:val="000000"/>
          <w:sz w:val="32"/>
          <w:szCs w:val="32"/>
          <w:lang w:val="en-US" w:eastAsia="zh-CN"/>
        </w:rPr>
      </w:pPr>
      <w:r>
        <w:rPr>
          <w:rFonts w:hint="eastAsia" w:eastAsia="仿宋_GB2312"/>
          <w:b/>
          <w:color w:val="000000"/>
          <w:sz w:val="32"/>
          <w:szCs w:val="32"/>
          <w:lang w:val="en-US" w:eastAsia="zh-CN"/>
        </w:rPr>
        <w:t>响应</w:t>
      </w:r>
      <w:r>
        <w:rPr>
          <w:rFonts w:hint="eastAsia" w:eastAsia="仿宋_GB2312"/>
          <w:b/>
          <w:color w:val="000000"/>
          <w:sz w:val="32"/>
          <w:szCs w:val="32"/>
        </w:rPr>
        <w:t>承诺</w:t>
      </w:r>
      <w:r>
        <w:rPr>
          <w:rFonts w:hint="eastAsia" w:eastAsia="仿宋_GB2312"/>
          <w:b/>
          <w:color w:val="000000"/>
          <w:sz w:val="32"/>
          <w:szCs w:val="32"/>
          <w:lang w:val="en-US" w:eastAsia="zh-CN"/>
        </w:rPr>
        <w:t>函</w:t>
      </w:r>
    </w:p>
    <w:p>
      <w:pPr>
        <w:rPr>
          <w:rFonts w:eastAsia="仿宋_GB2312"/>
          <w:color w:val="000000"/>
          <w:sz w:val="32"/>
          <w:szCs w:val="32"/>
        </w:rPr>
      </w:pPr>
      <w:r>
        <w:rPr>
          <w:rFonts w:eastAsia="仿宋_GB2312"/>
          <w:color w:val="000000"/>
          <w:sz w:val="32"/>
          <w:szCs w:val="32"/>
          <w:u w:val="single"/>
        </w:rPr>
        <w:t xml:space="preserve"> </w:t>
      </w:r>
      <w:r>
        <w:rPr>
          <w:rFonts w:hint="eastAsia" w:eastAsia="仿宋_GB2312"/>
          <w:color w:val="000000"/>
          <w:sz w:val="32"/>
          <w:szCs w:val="32"/>
          <w:u w:val="single"/>
          <w:lang w:val="en-US" w:eastAsia="zh-CN"/>
        </w:rPr>
        <w:t>东莞市新东元环保投资有限公司</w:t>
      </w:r>
      <w:r>
        <w:rPr>
          <w:rFonts w:hint="eastAsia" w:eastAsia="仿宋_GB2312"/>
          <w:color w:val="000000"/>
          <w:sz w:val="32"/>
          <w:szCs w:val="32"/>
        </w:rPr>
        <w:t>：</w:t>
      </w:r>
    </w:p>
    <w:p>
      <w:pPr>
        <w:pStyle w:val="21"/>
        <w:ind w:firstLine="640" w:firstLineChars="0"/>
        <w:rPr>
          <w:rFonts w:ascii="Times New Roman" w:hAnsi="Times New Roman"/>
          <w:color w:val="000000"/>
          <w:sz w:val="32"/>
          <w:szCs w:val="32"/>
        </w:rPr>
      </w:pPr>
      <w:r>
        <w:rPr>
          <w:rFonts w:hint="eastAsia" w:ascii="Times New Roman" w:hAnsi="Times New Roman"/>
          <w:color w:val="000000"/>
          <w:sz w:val="32"/>
          <w:szCs w:val="32"/>
        </w:rPr>
        <w:t>我司就参加</w:t>
      </w:r>
      <w:r>
        <w:rPr>
          <w:rFonts w:hint="eastAsia" w:ascii="Times New Roman" w:hAnsi="Times New Roman"/>
          <w:color w:val="000000"/>
          <w:sz w:val="32"/>
          <w:szCs w:val="32"/>
          <w:u w:val="single"/>
          <w:lang w:eastAsia="zh-CN"/>
        </w:rPr>
        <w:t>东莞市海心沙资源综合利用中心环保热电厂生产物资采购项目（第</w:t>
      </w:r>
      <w:r>
        <w:rPr>
          <w:rFonts w:hint="eastAsia" w:ascii="Times New Roman" w:hAnsi="Times New Roman"/>
          <w:color w:val="000000"/>
          <w:sz w:val="32"/>
          <w:szCs w:val="32"/>
          <w:u w:val="single"/>
          <w:lang w:val="en-US" w:eastAsia="zh-CN"/>
        </w:rPr>
        <w:t>13</w:t>
      </w:r>
      <w:r>
        <w:rPr>
          <w:rFonts w:hint="eastAsia" w:ascii="Times New Roman" w:hAnsi="Times New Roman"/>
          <w:color w:val="000000"/>
          <w:sz w:val="32"/>
          <w:szCs w:val="32"/>
          <w:u w:val="single"/>
          <w:lang w:eastAsia="zh-CN"/>
        </w:rPr>
        <w:t>批）</w:t>
      </w:r>
      <w:r>
        <w:rPr>
          <w:rFonts w:hint="eastAsia" w:ascii="Times New Roman" w:hAnsi="Times New Roman"/>
          <w:color w:val="000000"/>
          <w:sz w:val="32"/>
          <w:szCs w:val="32"/>
          <w:u w:val="single"/>
          <w:lang w:val="en-US" w:eastAsia="zh-CN"/>
        </w:rPr>
        <w:t>报价响应</w:t>
      </w:r>
      <w:r>
        <w:rPr>
          <w:rFonts w:hint="eastAsia" w:ascii="Times New Roman" w:hAnsi="Times New Roman"/>
          <w:color w:val="000000"/>
          <w:sz w:val="32"/>
          <w:szCs w:val="32"/>
        </w:rPr>
        <w:t>，作出以下承诺：</w:t>
      </w:r>
    </w:p>
    <w:p>
      <w:pPr>
        <w:pStyle w:val="21"/>
        <w:ind w:firstLine="659"/>
        <w:rPr>
          <w:rFonts w:ascii="Times New Roman" w:hAnsi="Times New Roman"/>
          <w:color w:val="000000"/>
          <w:sz w:val="32"/>
          <w:szCs w:val="32"/>
        </w:rPr>
      </w:pPr>
      <w:r>
        <w:rPr>
          <w:rFonts w:hint="eastAsia" w:ascii="Times New Roman" w:hAnsi="Times New Roman"/>
          <w:color w:val="000000"/>
          <w:sz w:val="32"/>
          <w:szCs w:val="32"/>
        </w:rPr>
        <w:t>我公司已充分了解采购项目情况，本次报价完全响应询价文件</w:t>
      </w:r>
      <w:r>
        <w:rPr>
          <w:rFonts w:hint="eastAsia" w:ascii="Times New Roman" w:hAnsi="Times New Roman"/>
          <w:color w:val="000000"/>
          <w:sz w:val="32"/>
          <w:szCs w:val="32"/>
          <w:lang w:val="en-US" w:eastAsia="zh-CN"/>
        </w:rPr>
        <w:t>及其全部附件的所有</w:t>
      </w:r>
      <w:r>
        <w:rPr>
          <w:rFonts w:hint="eastAsia" w:ascii="Times New Roman" w:hAnsi="Times New Roman"/>
          <w:color w:val="000000"/>
          <w:sz w:val="32"/>
          <w:szCs w:val="32"/>
        </w:rPr>
        <w:t>要求，我公司</w:t>
      </w:r>
      <w:r>
        <w:rPr>
          <w:rFonts w:hint="eastAsia" w:ascii="Times New Roman" w:hAnsi="Times New Roman"/>
          <w:color w:val="000000"/>
          <w:sz w:val="32"/>
          <w:szCs w:val="32"/>
          <w:lang w:val="en-US" w:eastAsia="zh-CN"/>
        </w:rPr>
        <w:t>本次项目响应</w:t>
      </w:r>
      <w:r>
        <w:rPr>
          <w:rFonts w:hint="eastAsia" w:ascii="Times New Roman" w:hAnsi="Times New Roman"/>
          <w:color w:val="000000"/>
          <w:sz w:val="32"/>
          <w:szCs w:val="32"/>
        </w:rPr>
        <w:t>等于或优于采购人需求，并承诺如不满足采购人需求，采购人有权取消</w:t>
      </w:r>
      <w:r>
        <w:rPr>
          <w:rFonts w:hint="eastAsia" w:ascii="Times New Roman" w:hAnsi="Times New Roman"/>
          <w:color w:val="000000"/>
          <w:sz w:val="32"/>
          <w:szCs w:val="32"/>
          <w:lang w:val="en-US" w:eastAsia="zh-CN"/>
        </w:rPr>
        <w:t>我公司成交资格或单方面解除合同</w:t>
      </w:r>
      <w:r>
        <w:rPr>
          <w:rFonts w:hint="eastAsia" w:ascii="Times New Roman" w:hAnsi="Times New Roman"/>
          <w:color w:val="000000"/>
          <w:sz w:val="32"/>
          <w:szCs w:val="32"/>
        </w:rPr>
        <w:t>。</w:t>
      </w:r>
    </w:p>
    <w:p>
      <w:pPr>
        <w:pStyle w:val="21"/>
        <w:ind w:firstLine="659"/>
        <w:rPr>
          <w:rFonts w:ascii="Times New Roman" w:hAnsi="Times New Roman"/>
          <w:color w:val="000000"/>
          <w:sz w:val="32"/>
          <w:szCs w:val="32"/>
        </w:rPr>
      </w:pPr>
    </w:p>
    <w:p>
      <w:pPr>
        <w:jc w:val="left"/>
        <w:rPr>
          <w:rFonts w:eastAsia="仿宋"/>
          <w:color w:val="000000"/>
          <w:sz w:val="32"/>
          <w:szCs w:val="32"/>
        </w:rPr>
      </w:pPr>
    </w:p>
    <w:p>
      <w:pPr>
        <w:jc w:val="left"/>
        <w:rPr>
          <w:rFonts w:eastAsia="仿宋"/>
          <w:color w:val="000000"/>
          <w:sz w:val="32"/>
          <w:szCs w:val="32"/>
        </w:rPr>
      </w:pPr>
    </w:p>
    <w:p>
      <w:pPr>
        <w:jc w:val="left"/>
        <w:rPr>
          <w:rFonts w:eastAsia="仿宋"/>
          <w:color w:val="000000"/>
          <w:sz w:val="32"/>
          <w:szCs w:val="32"/>
        </w:rPr>
      </w:pPr>
    </w:p>
    <w:p>
      <w:pPr>
        <w:pStyle w:val="21"/>
        <w:ind w:right="160" w:firstLine="0" w:firstLineChars="0"/>
        <w:jc w:val="left"/>
        <w:rPr>
          <w:rFonts w:ascii="Times New Roman" w:hAnsi="Times New Roman"/>
          <w:color w:val="000000"/>
          <w:sz w:val="32"/>
          <w:szCs w:val="32"/>
        </w:rPr>
      </w:pPr>
      <w:r>
        <w:rPr>
          <w:rFonts w:hint="eastAsia" w:ascii="Times New Roman" w:hAnsi="Times New Roman"/>
          <w:color w:val="000000"/>
          <w:sz w:val="32"/>
          <w:szCs w:val="32"/>
        </w:rPr>
        <w:t>响应人名称（加盖公章）：</w:t>
      </w:r>
    </w:p>
    <w:p>
      <w:pPr>
        <w:pStyle w:val="21"/>
        <w:ind w:firstLine="0" w:firstLineChars="0"/>
        <w:jc w:val="left"/>
        <w:rPr>
          <w:rFonts w:ascii="Times New Roman" w:hAnsi="Times New Roman"/>
          <w:color w:val="000000"/>
          <w:sz w:val="32"/>
          <w:szCs w:val="32"/>
        </w:rPr>
      </w:pPr>
      <w:r>
        <w:rPr>
          <w:rFonts w:hint="eastAsia" w:ascii="Times New Roman" w:hAnsi="Times New Roman"/>
          <w:color w:val="000000"/>
          <w:sz w:val="32"/>
          <w:szCs w:val="32"/>
        </w:rPr>
        <w:t>响应人地址：</w:t>
      </w:r>
    </w:p>
    <w:p>
      <w:pPr>
        <w:pStyle w:val="21"/>
        <w:ind w:firstLine="0" w:firstLineChars="0"/>
        <w:jc w:val="left"/>
        <w:rPr>
          <w:rFonts w:ascii="Times New Roman" w:hAnsi="Times New Roman"/>
          <w:color w:val="000000"/>
          <w:sz w:val="32"/>
          <w:szCs w:val="32"/>
        </w:rPr>
      </w:pPr>
      <w:r>
        <w:rPr>
          <w:rFonts w:hint="eastAsia" w:ascii="Times New Roman" w:hAnsi="Times New Roman"/>
          <w:color w:val="000000"/>
          <w:sz w:val="32"/>
          <w:szCs w:val="32"/>
        </w:rPr>
        <w:t>法定代表人（签字或盖章）：</w:t>
      </w:r>
    </w:p>
    <w:p>
      <w:pPr>
        <w:pStyle w:val="21"/>
        <w:ind w:firstLine="0" w:firstLineChars="0"/>
        <w:jc w:val="left"/>
        <w:rPr>
          <w:rFonts w:ascii="Times New Roman" w:hAnsi="Times New Roman"/>
          <w:color w:val="000000"/>
          <w:sz w:val="32"/>
          <w:szCs w:val="32"/>
        </w:rPr>
      </w:pPr>
      <w:r>
        <w:rPr>
          <w:rFonts w:hint="eastAsia" w:ascii="Times New Roman" w:hAnsi="Times New Roman"/>
          <w:color w:val="000000"/>
          <w:sz w:val="32"/>
          <w:szCs w:val="32"/>
        </w:rPr>
        <w:t>职务：</w:t>
      </w:r>
    </w:p>
    <w:p>
      <w:pPr>
        <w:pStyle w:val="21"/>
        <w:ind w:firstLine="0" w:firstLineChars="0"/>
        <w:jc w:val="left"/>
        <w:rPr>
          <w:rFonts w:ascii="Times New Roman" w:hAnsi="Times New Roman"/>
          <w:color w:val="000000"/>
          <w:sz w:val="32"/>
          <w:szCs w:val="32"/>
        </w:rPr>
      </w:pPr>
      <w:r>
        <w:rPr>
          <w:rFonts w:hint="eastAsia" w:ascii="Times New Roman" w:hAnsi="Times New Roman"/>
          <w:color w:val="000000"/>
          <w:sz w:val="32"/>
          <w:szCs w:val="32"/>
        </w:rPr>
        <w:t>日期：</w:t>
      </w:r>
    </w:p>
    <w:p>
      <w:pPr>
        <w:pStyle w:val="21"/>
        <w:ind w:firstLine="0" w:firstLineChars="0"/>
        <w:jc w:val="left"/>
        <w:rPr>
          <w:rFonts w:ascii="Times New Roman" w:hAnsi="Times New Roman"/>
          <w:color w:val="000000"/>
          <w:sz w:val="32"/>
          <w:szCs w:val="32"/>
        </w:rPr>
      </w:pPr>
    </w:p>
    <w:p>
      <w:pPr>
        <w:rPr>
          <w:rFonts w:ascii="仿宋" w:hAnsi="仿宋" w:eastAsia="仿宋"/>
          <w:sz w:val="32"/>
          <w:szCs w:val="32"/>
          <w:highlight w:val="none"/>
        </w:rPr>
        <w:sectPr>
          <w:pgSz w:w="11906" w:h="16838"/>
          <w:pgMar w:top="1332" w:right="1800" w:bottom="1304" w:left="1800" w:header="851" w:footer="992" w:gutter="0"/>
          <w:cols w:space="720" w:num="1"/>
          <w:docGrid w:type="lines" w:linePitch="312" w:charSpace="0"/>
        </w:sectPr>
      </w:pPr>
    </w:p>
    <w:bookmarkEnd w:id="25"/>
    <w:p>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pPr>
        <w:spacing w:line="360" w:lineRule="auto"/>
        <w:ind w:firstLine="480" w:firstLineChars="200"/>
        <w:rPr>
          <w:sz w:val="24"/>
          <w:szCs w:val="24"/>
          <w:highlight w:val="none"/>
        </w:rPr>
      </w:pPr>
      <w:r>
        <w:rPr>
          <w:rFonts w:hint="eastAsia"/>
          <w:sz w:val="24"/>
          <w:szCs w:val="24"/>
          <w:highlight w:val="none"/>
        </w:rPr>
        <w:t>乙方合同编号：</w:t>
      </w:r>
    </w:p>
    <w:p>
      <w:pPr>
        <w:spacing w:line="360" w:lineRule="auto"/>
        <w:rPr>
          <w:rFonts w:eastAsia="仿宋_GB2312"/>
          <w:b/>
          <w:sz w:val="32"/>
          <w:szCs w:val="32"/>
          <w:highlight w:val="none"/>
        </w:rPr>
      </w:pPr>
    </w:p>
    <w:p>
      <w:pPr>
        <w:spacing w:line="360" w:lineRule="auto"/>
        <w:jc w:val="center"/>
        <w:rPr>
          <w:b/>
          <w:sz w:val="32"/>
          <w:szCs w:val="32"/>
          <w:highlight w:val="none"/>
        </w:rPr>
      </w:pPr>
      <w:r>
        <w:rPr>
          <w:rFonts w:hint="eastAsia" w:eastAsia="仿宋_GB2312"/>
          <w:b/>
          <w:sz w:val="32"/>
          <w:szCs w:val="32"/>
          <w:highlight w:val="none"/>
          <w:lang w:eastAsia="zh-CN"/>
        </w:rPr>
        <w:t>东莞市海心沙资源综合利用中心环保热电厂生产物资采购项目（第</w:t>
      </w:r>
      <w:r>
        <w:rPr>
          <w:rFonts w:hint="eastAsia" w:eastAsia="仿宋_GB2312"/>
          <w:b/>
          <w:sz w:val="32"/>
          <w:szCs w:val="32"/>
          <w:highlight w:val="none"/>
          <w:lang w:val="en-US" w:eastAsia="zh-CN"/>
        </w:rPr>
        <w:t>13</w:t>
      </w:r>
      <w:r>
        <w:rPr>
          <w:rFonts w:hint="eastAsia" w:eastAsia="仿宋_GB2312"/>
          <w:b/>
          <w:sz w:val="32"/>
          <w:szCs w:val="32"/>
          <w:highlight w:val="none"/>
          <w:lang w:eastAsia="zh-CN"/>
        </w:rPr>
        <w:t>批）</w:t>
      </w:r>
      <w:r>
        <w:rPr>
          <w:rFonts w:hint="eastAsia" w:eastAsia="仿宋_GB2312"/>
          <w:b/>
          <w:sz w:val="32"/>
          <w:szCs w:val="32"/>
          <w:highlight w:val="none"/>
        </w:rPr>
        <w:t>合同</w:t>
      </w:r>
    </w:p>
    <w:p>
      <w:pPr>
        <w:spacing w:line="360" w:lineRule="auto"/>
        <w:rPr>
          <w:sz w:val="24"/>
          <w:szCs w:val="24"/>
          <w:highlight w:val="none"/>
        </w:rPr>
      </w:pPr>
      <w:r>
        <w:rPr>
          <w:sz w:val="24"/>
          <w:szCs w:val="24"/>
          <w:highlight w:val="none"/>
        </w:rPr>
        <w:t xml:space="preserve">                                                             </w:t>
      </w:r>
    </w:p>
    <w:p>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pPr>
        <w:spacing w:line="360" w:lineRule="auto"/>
        <w:ind w:firstLine="480" w:firstLineChars="200"/>
        <w:rPr>
          <w:sz w:val="24"/>
          <w:szCs w:val="24"/>
          <w:highlight w:val="none"/>
        </w:rPr>
      </w:pPr>
      <w:r>
        <w:rPr>
          <w:sz w:val="24"/>
          <w:szCs w:val="24"/>
          <w:highlight w:val="none"/>
        </w:rPr>
        <w:t xml:space="preserve"> </w:t>
      </w:r>
    </w:p>
    <w:p>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w:t>
      </w:r>
      <w:r>
        <w:rPr>
          <w:rFonts w:hint="eastAsia"/>
          <w:sz w:val="24"/>
          <w:szCs w:val="24"/>
          <w:highlight w:val="none"/>
          <w:lang w:eastAsia="zh-CN"/>
        </w:rPr>
        <w:t>东莞市海心沙资源综合利用中心环保热电厂生产物资采购项目（第</w:t>
      </w:r>
      <w:r>
        <w:rPr>
          <w:rFonts w:hint="eastAsia"/>
          <w:sz w:val="24"/>
          <w:szCs w:val="24"/>
          <w:highlight w:val="none"/>
          <w:lang w:val="en-US" w:eastAsia="zh-CN"/>
        </w:rPr>
        <w:t>13</w:t>
      </w:r>
      <w:r>
        <w:rPr>
          <w:rFonts w:hint="eastAsia"/>
          <w:sz w:val="24"/>
          <w:szCs w:val="24"/>
          <w:highlight w:val="none"/>
          <w:lang w:eastAsia="zh-CN"/>
        </w:rPr>
        <w:t>批）</w:t>
      </w:r>
      <w:r>
        <w:rPr>
          <w:rFonts w:hint="eastAsia"/>
          <w:sz w:val="24"/>
          <w:szCs w:val="24"/>
          <w:highlight w:val="none"/>
        </w:rPr>
        <w:t>的相关供货及服务事宜协商一致，特订立本合同，由甲乙双方共同遵守履行。</w:t>
      </w:r>
    </w:p>
    <w:p>
      <w:pPr>
        <w:spacing w:line="360" w:lineRule="auto"/>
        <w:ind w:firstLine="482" w:firstLineChars="200"/>
        <w:rPr>
          <w:b/>
          <w:sz w:val="24"/>
          <w:szCs w:val="24"/>
          <w:highlight w:val="none"/>
        </w:rPr>
      </w:pPr>
      <w:bookmarkStart w:id="39" w:name="_Toc16526_WPSOffice_Level1"/>
      <w:r>
        <w:rPr>
          <w:rFonts w:hint="eastAsia"/>
          <w:b/>
          <w:sz w:val="24"/>
          <w:szCs w:val="24"/>
          <w:highlight w:val="none"/>
        </w:rPr>
        <w:t>一、合同价款及要求</w:t>
      </w:r>
      <w:bookmarkEnd w:id="39"/>
    </w:p>
    <w:p>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sz w:val="24"/>
          <w:szCs w:val="24"/>
          <w:highlight w:val="none"/>
        </w:rPr>
        <w:t>1</w:t>
      </w:r>
      <w:r>
        <w:rPr>
          <w:rFonts w:hint="eastAsia"/>
          <w:sz w:val="24"/>
          <w:szCs w:val="24"/>
          <w:highlight w:val="none"/>
        </w:rPr>
        <w:t>《报价清单》。</w:t>
      </w:r>
    </w:p>
    <w:p>
      <w:pPr>
        <w:spacing w:line="360" w:lineRule="auto"/>
        <w:ind w:firstLine="482" w:firstLineChars="200"/>
        <w:rPr>
          <w:b/>
          <w:sz w:val="24"/>
          <w:szCs w:val="24"/>
          <w:highlight w:val="none"/>
        </w:rPr>
      </w:pPr>
      <w:bookmarkStart w:id="40" w:name="_Toc30470_WPSOffice_Level1"/>
      <w:r>
        <w:rPr>
          <w:rFonts w:hint="eastAsia"/>
          <w:b/>
          <w:sz w:val="24"/>
          <w:szCs w:val="24"/>
          <w:highlight w:val="none"/>
        </w:rPr>
        <w:t>二、交货及服务要求、时间、地点</w:t>
      </w:r>
      <w:bookmarkEnd w:id="40"/>
    </w:p>
    <w:p>
      <w:pPr>
        <w:spacing w:line="276" w:lineRule="auto"/>
        <w:ind w:firstLine="480" w:firstLineChars="200"/>
        <w:rPr>
          <w:rFonts w:ascii="仿宋" w:hAnsi="仿宋" w:eastAsia="仿宋"/>
          <w:sz w:val="32"/>
          <w:szCs w:val="32"/>
          <w:highlight w:val="none"/>
        </w:rPr>
      </w:pPr>
      <w:r>
        <w:rPr>
          <w:rFonts w:hint="eastAsia"/>
          <w:sz w:val="24"/>
          <w:szCs w:val="24"/>
          <w:highlight w:val="none"/>
        </w:rPr>
        <w:t>（一）</w:t>
      </w:r>
      <w:r>
        <w:rPr>
          <w:rFonts w:hint="eastAsia"/>
          <w:sz w:val="24"/>
          <w:szCs w:val="24"/>
          <w:highlight w:val="none"/>
          <w:lang w:val="en-US" w:eastAsia="zh-CN"/>
        </w:rPr>
        <w:t>自甲方</w:t>
      </w:r>
      <w:r>
        <w:rPr>
          <w:rFonts w:hint="eastAsia"/>
          <w:sz w:val="24"/>
          <w:szCs w:val="24"/>
          <w:highlight w:val="none"/>
        </w:rPr>
        <w:t>发出结果确认函之日起，</w:t>
      </w:r>
      <w:r>
        <w:rPr>
          <w:rFonts w:hint="eastAsia"/>
          <w:sz w:val="24"/>
          <w:szCs w:val="24"/>
          <w:highlight w:val="none"/>
          <w:lang w:val="en-US" w:eastAsia="zh-CN"/>
        </w:rPr>
        <w:t>乙方</w:t>
      </w:r>
      <w:r>
        <w:rPr>
          <w:rFonts w:hint="eastAsia"/>
          <w:sz w:val="24"/>
          <w:szCs w:val="24"/>
          <w:highlight w:val="none"/>
        </w:rPr>
        <w:t>在15个日历日内完成所有物资供货，并经</w:t>
      </w:r>
      <w:r>
        <w:rPr>
          <w:rFonts w:hint="eastAsia"/>
          <w:sz w:val="24"/>
          <w:szCs w:val="24"/>
          <w:highlight w:val="none"/>
          <w:lang w:val="en-US" w:eastAsia="zh-CN"/>
        </w:rPr>
        <w:t>甲方</w:t>
      </w:r>
      <w:r>
        <w:rPr>
          <w:rFonts w:hint="eastAsia"/>
          <w:sz w:val="24"/>
          <w:szCs w:val="24"/>
          <w:highlight w:val="none"/>
        </w:rPr>
        <w:t>验收合格。</w:t>
      </w:r>
    </w:p>
    <w:p>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w:t>
      </w:r>
    </w:p>
    <w:p>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pPr>
        <w:spacing w:line="360" w:lineRule="auto"/>
        <w:ind w:firstLine="482" w:firstLineChars="200"/>
        <w:rPr>
          <w:b/>
          <w:sz w:val="24"/>
          <w:szCs w:val="24"/>
          <w:highlight w:val="none"/>
        </w:rPr>
      </w:pPr>
      <w:bookmarkStart w:id="41" w:name="_Toc28374_WPSOffice_Level1"/>
      <w:r>
        <w:rPr>
          <w:rFonts w:hint="eastAsia"/>
          <w:b/>
          <w:sz w:val="24"/>
          <w:szCs w:val="24"/>
          <w:highlight w:val="none"/>
        </w:rPr>
        <w:t>三、付款方式</w:t>
      </w:r>
      <w:bookmarkEnd w:id="41"/>
    </w:p>
    <w:p>
      <w:pPr>
        <w:spacing w:line="360" w:lineRule="auto"/>
        <w:ind w:firstLine="480" w:firstLineChars="200"/>
        <w:outlineLvl w:val="1"/>
        <w:rPr>
          <w:rFonts w:hint="eastAsia"/>
          <w:bCs/>
          <w:sz w:val="24"/>
          <w:szCs w:val="24"/>
          <w:highlight w:val="none"/>
        </w:rPr>
      </w:pPr>
      <w:r>
        <w:rPr>
          <w:rFonts w:hint="eastAsia"/>
          <w:bCs/>
          <w:sz w:val="24"/>
          <w:szCs w:val="24"/>
          <w:highlight w:val="none"/>
        </w:rPr>
        <w:t>（一）每月3日前，</w:t>
      </w:r>
      <w:r>
        <w:rPr>
          <w:rFonts w:hint="eastAsia"/>
          <w:bCs/>
          <w:sz w:val="24"/>
          <w:szCs w:val="24"/>
          <w:highlight w:val="none"/>
          <w:lang w:val="en-US" w:eastAsia="zh-CN"/>
        </w:rPr>
        <w:t>乙方</w:t>
      </w:r>
      <w:r>
        <w:rPr>
          <w:rFonts w:hint="eastAsia"/>
          <w:bCs/>
          <w:sz w:val="24"/>
          <w:szCs w:val="24"/>
          <w:highlight w:val="none"/>
        </w:rPr>
        <w:t>向</w:t>
      </w:r>
      <w:r>
        <w:rPr>
          <w:rFonts w:hint="eastAsia"/>
          <w:bCs/>
          <w:sz w:val="24"/>
          <w:szCs w:val="24"/>
          <w:highlight w:val="none"/>
          <w:lang w:val="en-US" w:eastAsia="zh-CN"/>
        </w:rPr>
        <w:t>甲方</w:t>
      </w:r>
      <w:r>
        <w:rPr>
          <w:rFonts w:hint="eastAsia"/>
          <w:bCs/>
          <w:sz w:val="24"/>
          <w:szCs w:val="24"/>
          <w:highlight w:val="none"/>
        </w:rPr>
        <w:t>提交上月供货对账单，双方对验收合格入库的货物数量及金额核对无误后，</w:t>
      </w:r>
      <w:r>
        <w:rPr>
          <w:rFonts w:hint="eastAsia"/>
          <w:bCs/>
          <w:sz w:val="24"/>
          <w:szCs w:val="24"/>
          <w:highlight w:val="none"/>
          <w:lang w:val="en-US" w:eastAsia="zh-CN"/>
        </w:rPr>
        <w:t>乙方</w:t>
      </w:r>
      <w:r>
        <w:rPr>
          <w:rFonts w:hint="eastAsia"/>
          <w:bCs/>
          <w:sz w:val="24"/>
          <w:szCs w:val="24"/>
          <w:highlight w:val="none"/>
        </w:rPr>
        <w:t>在三个工作日内向</w:t>
      </w:r>
      <w:r>
        <w:rPr>
          <w:rFonts w:hint="eastAsia"/>
          <w:bCs/>
          <w:sz w:val="24"/>
          <w:szCs w:val="24"/>
          <w:highlight w:val="none"/>
          <w:lang w:val="en-US" w:eastAsia="zh-CN"/>
        </w:rPr>
        <w:t>甲方</w:t>
      </w:r>
      <w:r>
        <w:rPr>
          <w:rFonts w:hint="eastAsia"/>
          <w:bCs/>
          <w:sz w:val="24"/>
          <w:szCs w:val="24"/>
          <w:highlight w:val="none"/>
        </w:rPr>
        <w:t>提交合法有效的等额增值税专用发票，</w:t>
      </w:r>
      <w:r>
        <w:rPr>
          <w:rFonts w:hint="eastAsia"/>
          <w:bCs/>
          <w:sz w:val="24"/>
          <w:szCs w:val="24"/>
          <w:highlight w:val="none"/>
          <w:lang w:val="en-US" w:eastAsia="zh-CN"/>
        </w:rPr>
        <w:t>甲方</w:t>
      </w:r>
      <w:r>
        <w:rPr>
          <w:rFonts w:hint="eastAsia"/>
          <w:bCs/>
          <w:sz w:val="24"/>
          <w:szCs w:val="24"/>
          <w:highlight w:val="none"/>
        </w:rPr>
        <w:t>在当月</w:t>
      </w:r>
      <w:r>
        <w:rPr>
          <w:rFonts w:hint="eastAsia"/>
          <w:bCs/>
          <w:sz w:val="24"/>
          <w:szCs w:val="24"/>
          <w:highlight w:val="none"/>
          <w:lang w:val="en-US" w:eastAsia="zh-CN"/>
        </w:rPr>
        <w:t>30</w:t>
      </w:r>
      <w:r>
        <w:rPr>
          <w:rFonts w:hint="eastAsia"/>
          <w:bCs/>
          <w:sz w:val="24"/>
          <w:szCs w:val="24"/>
          <w:highlight w:val="none"/>
        </w:rPr>
        <w:t>日前向</w:t>
      </w:r>
      <w:r>
        <w:rPr>
          <w:rFonts w:hint="eastAsia"/>
          <w:bCs/>
          <w:sz w:val="24"/>
          <w:szCs w:val="24"/>
          <w:highlight w:val="none"/>
          <w:lang w:val="en-US" w:eastAsia="zh-CN"/>
        </w:rPr>
        <w:t>乙方</w:t>
      </w:r>
      <w:r>
        <w:rPr>
          <w:rFonts w:hint="eastAsia"/>
          <w:bCs/>
          <w:sz w:val="24"/>
          <w:szCs w:val="24"/>
          <w:highlight w:val="none"/>
        </w:rPr>
        <w:t>支付上月入库货物金额的100%。</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有权延迟一个月付款。</w:t>
      </w:r>
    </w:p>
    <w:p>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pPr>
        <w:spacing w:line="360" w:lineRule="auto"/>
        <w:ind w:firstLine="480" w:firstLineChars="200"/>
        <w:rPr>
          <w:bCs/>
          <w:sz w:val="24"/>
          <w:szCs w:val="24"/>
          <w:highlight w:val="none"/>
        </w:rPr>
      </w:pPr>
      <w:r>
        <w:rPr>
          <w:rFonts w:hint="eastAsia"/>
          <w:bCs/>
          <w:sz w:val="24"/>
          <w:szCs w:val="24"/>
          <w:highlight w:val="none"/>
        </w:rPr>
        <w:t>（三）乙方的收款账户信息如下：</w:t>
      </w:r>
    </w:p>
    <w:p>
      <w:pPr>
        <w:spacing w:line="360" w:lineRule="auto"/>
        <w:ind w:firstLine="480" w:firstLineChars="200"/>
        <w:rPr>
          <w:sz w:val="24"/>
          <w:szCs w:val="24"/>
          <w:highlight w:val="none"/>
        </w:rPr>
      </w:pPr>
      <w:r>
        <w:rPr>
          <w:rFonts w:hint="eastAsia"/>
          <w:sz w:val="24"/>
          <w:szCs w:val="24"/>
          <w:highlight w:val="none"/>
        </w:rPr>
        <w:t>开户银行：</w:t>
      </w:r>
    </w:p>
    <w:p>
      <w:pPr>
        <w:spacing w:line="360" w:lineRule="auto"/>
        <w:ind w:firstLine="480" w:firstLineChars="200"/>
        <w:rPr>
          <w:sz w:val="24"/>
          <w:szCs w:val="24"/>
          <w:highlight w:val="none"/>
        </w:rPr>
      </w:pPr>
      <w:r>
        <w:rPr>
          <w:rFonts w:hint="eastAsia"/>
          <w:sz w:val="24"/>
          <w:szCs w:val="24"/>
          <w:highlight w:val="none"/>
        </w:rPr>
        <w:t>开户行账号：</w:t>
      </w:r>
      <w:r>
        <w:rPr>
          <w:sz w:val="24"/>
          <w:szCs w:val="24"/>
          <w:highlight w:val="none"/>
        </w:rPr>
        <w:t xml:space="preserve"> </w:t>
      </w:r>
    </w:p>
    <w:p>
      <w:pPr>
        <w:spacing w:line="360" w:lineRule="auto"/>
        <w:ind w:firstLine="480" w:firstLineChars="200"/>
        <w:rPr>
          <w:sz w:val="24"/>
          <w:szCs w:val="24"/>
          <w:highlight w:val="none"/>
        </w:rPr>
      </w:pPr>
      <w:r>
        <w:rPr>
          <w:rFonts w:hint="eastAsia"/>
          <w:sz w:val="24"/>
          <w:szCs w:val="24"/>
          <w:highlight w:val="none"/>
        </w:rPr>
        <w:t>收款单位名：</w:t>
      </w:r>
    </w:p>
    <w:p>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pPr>
        <w:spacing w:line="360" w:lineRule="auto"/>
        <w:ind w:firstLine="482" w:firstLineChars="200"/>
        <w:rPr>
          <w:bCs/>
          <w:sz w:val="24"/>
          <w:szCs w:val="24"/>
          <w:highlight w:val="none"/>
        </w:rPr>
      </w:pPr>
      <w:bookmarkStart w:id="42" w:name="_Toc25644_WPSOffice_Level1"/>
      <w:r>
        <w:rPr>
          <w:rFonts w:hint="eastAsia"/>
          <w:b/>
          <w:sz w:val="24"/>
          <w:szCs w:val="24"/>
          <w:highlight w:val="none"/>
        </w:rPr>
        <w:t>四、货物的验收和服务</w:t>
      </w:r>
      <w:bookmarkEnd w:id="42"/>
    </w:p>
    <w:p>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pPr>
        <w:spacing w:line="360" w:lineRule="auto"/>
        <w:ind w:firstLine="480"/>
        <w:rPr>
          <w:sz w:val="24"/>
          <w:szCs w:val="24"/>
          <w:highlight w:val="none"/>
        </w:rPr>
      </w:pPr>
      <w:r>
        <w:rPr>
          <w:rFonts w:hint="eastAsia"/>
          <w:sz w:val="24"/>
          <w:szCs w:val="24"/>
          <w:highlight w:val="none"/>
        </w:rPr>
        <w:t>（六）货物的样式、外观情况根据甲方要求，材质等符合国家或行业相关标准，且均为合格产品。</w:t>
      </w:r>
    </w:p>
    <w:p>
      <w:pPr>
        <w:spacing w:line="360" w:lineRule="auto"/>
        <w:ind w:firstLine="480"/>
        <w:rPr>
          <w:sz w:val="24"/>
          <w:szCs w:val="24"/>
          <w:highlight w:val="none"/>
        </w:rPr>
      </w:pPr>
      <w:r>
        <w:rPr>
          <w:rFonts w:hint="eastAsia"/>
          <w:sz w:val="24"/>
          <w:szCs w:val="24"/>
          <w:highlight w:val="none"/>
        </w:rPr>
        <w:t>（七）质保期：货物完成供货后经甲乙双方验收合格之日起质保一年。</w:t>
      </w:r>
    </w:p>
    <w:p>
      <w:pPr>
        <w:spacing w:line="360" w:lineRule="auto"/>
        <w:ind w:firstLine="482" w:firstLineChars="200"/>
        <w:rPr>
          <w:b/>
          <w:sz w:val="24"/>
          <w:szCs w:val="24"/>
          <w:highlight w:val="none"/>
        </w:rPr>
      </w:pPr>
      <w:bookmarkStart w:id="43" w:name="_Toc8841_WPSOffice_Level1"/>
      <w:r>
        <w:rPr>
          <w:rFonts w:hint="eastAsia"/>
          <w:b/>
          <w:sz w:val="24"/>
          <w:szCs w:val="24"/>
          <w:highlight w:val="none"/>
        </w:rPr>
        <w:t>五、双方义务</w:t>
      </w:r>
      <w:bookmarkEnd w:id="43"/>
    </w:p>
    <w:p>
      <w:pPr>
        <w:spacing w:line="360" w:lineRule="auto"/>
        <w:ind w:firstLine="480" w:firstLineChars="200"/>
        <w:rPr>
          <w:sz w:val="24"/>
          <w:szCs w:val="24"/>
          <w:highlight w:val="none"/>
        </w:rPr>
      </w:pPr>
      <w:bookmarkStart w:id="44"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4"/>
    </w:p>
    <w:p>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pPr>
        <w:spacing w:line="360" w:lineRule="auto"/>
        <w:ind w:right="210" w:rightChars="100" w:firstLine="480" w:firstLineChars="200"/>
        <w:rPr>
          <w:sz w:val="24"/>
          <w:szCs w:val="24"/>
          <w:highlight w:val="none"/>
        </w:rPr>
      </w:pPr>
      <w:bookmarkStart w:id="45"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5"/>
    </w:p>
    <w:p>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pPr>
        <w:spacing w:line="360" w:lineRule="auto"/>
        <w:ind w:right="210" w:rightChars="100" w:firstLine="482" w:firstLineChars="200"/>
        <w:rPr>
          <w:b/>
          <w:sz w:val="24"/>
          <w:szCs w:val="24"/>
          <w:highlight w:val="none"/>
        </w:rPr>
      </w:pPr>
      <w:bookmarkStart w:id="46" w:name="_Toc11843_WPSOffice_Level1"/>
      <w:r>
        <w:rPr>
          <w:rFonts w:hint="eastAsia"/>
          <w:b/>
          <w:sz w:val="24"/>
          <w:szCs w:val="24"/>
          <w:highlight w:val="none"/>
        </w:rPr>
        <w:t>六、违约责任</w:t>
      </w:r>
      <w:bookmarkEnd w:id="46"/>
    </w:p>
    <w:p>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（一）乙方未按合同约定交期按时交货、安装或交付相关的技术资料的，每逾期一天则相应应向甲方支付合同总额的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生产物资必须完全满足甲方原有设备的使用需求、机械尺寸及配套需求，如乙方成交清单中生产物资在实际供货中与甲方原有设备有任何不适配或无法满足甲方使用需求的，甲方有权要求乙方在限期内将生产物资更换为甲方原品牌型号生产物资。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pPr>
        <w:spacing w:line="360" w:lineRule="auto"/>
        <w:ind w:right="210" w:rightChars="100" w:firstLine="482" w:firstLineChars="200"/>
        <w:rPr>
          <w:b/>
          <w:bCs/>
          <w:sz w:val="24"/>
          <w:szCs w:val="24"/>
          <w:highlight w:val="none"/>
        </w:rPr>
      </w:pPr>
      <w:bookmarkStart w:id="47" w:name="_Toc4307_WPSOffice_Level1"/>
      <w:r>
        <w:rPr>
          <w:rFonts w:hint="eastAsia"/>
          <w:b/>
          <w:bCs/>
          <w:sz w:val="24"/>
          <w:szCs w:val="24"/>
          <w:highlight w:val="none"/>
        </w:rPr>
        <w:t>七、不可抗力</w:t>
      </w:r>
      <w:bookmarkEnd w:id="47"/>
    </w:p>
    <w:p>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pPr>
        <w:spacing w:line="360" w:lineRule="auto"/>
        <w:ind w:firstLine="482" w:firstLineChars="200"/>
        <w:rPr>
          <w:b/>
          <w:sz w:val="24"/>
          <w:szCs w:val="24"/>
          <w:highlight w:val="none"/>
        </w:rPr>
      </w:pPr>
      <w:bookmarkStart w:id="48" w:name="_Toc2393_WPSOffice_Level1"/>
      <w:r>
        <w:rPr>
          <w:rFonts w:hint="eastAsia"/>
          <w:b/>
          <w:sz w:val="24"/>
          <w:szCs w:val="24"/>
          <w:highlight w:val="none"/>
        </w:rPr>
        <w:t>八、争议的解决</w:t>
      </w:r>
      <w:bookmarkEnd w:id="48"/>
    </w:p>
    <w:p>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pPr>
        <w:spacing w:line="360" w:lineRule="auto"/>
        <w:ind w:firstLine="482" w:firstLineChars="200"/>
        <w:rPr>
          <w:b/>
          <w:sz w:val="24"/>
          <w:szCs w:val="24"/>
          <w:highlight w:val="none"/>
        </w:rPr>
      </w:pPr>
      <w:bookmarkStart w:id="49" w:name="_Toc27346_WPSOffice_Level1"/>
      <w:r>
        <w:rPr>
          <w:rFonts w:hint="eastAsia"/>
          <w:b/>
          <w:sz w:val="24"/>
          <w:szCs w:val="24"/>
          <w:highlight w:val="none"/>
        </w:rPr>
        <w:t>九、其它约定</w:t>
      </w:r>
      <w:bookmarkEnd w:id="49"/>
    </w:p>
    <w:p>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pPr>
        <w:spacing w:line="360" w:lineRule="auto"/>
        <w:ind w:firstLine="480" w:firstLineChars="200"/>
        <w:rPr>
          <w:sz w:val="24"/>
          <w:szCs w:val="24"/>
          <w:highlight w:val="none"/>
        </w:rPr>
      </w:pPr>
      <w:r>
        <w:rPr>
          <w:rFonts w:hint="eastAsia"/>
          <w:sz w:val="24"/>
          <w:szCs w:val="24"/>
          <w:highlight w:val="none"/>
        </w:rPr>
        <w:t>（四）本合同附件：</w:t>
      </w:r>
    </w:p>
    <w:p>
      <w:pPr>
        <w:spacing w:line="360" w:lineRule="auto"/>
        <w:ind w:firstLine="480" w:firstLineChars="200"/>
        <w:rPr>
          <w:sz w:val="24"/>
          <w:szCs w:val="24"/>
          <w:highlight w:val="none"/>
        </w:rPr>
      </w:pPr>
      <w:bookmarkStart w:id="50"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50"/>
    </w:p>
    <w:p>
      <w:pPr>
        <w:spacing w:line="360" w:lineRule="auto"/>
        <w:ind w:firstLine="480" w:firstLineChars="200"/>
        <w:rPr>
          <w:sz w:val="24"/>
          <w:szCs w:val="24"/>
          <w:highlight w:val="none"/>
        </w:rPr>
      </w:pPr>
      <w:bookmarkStart w:id="51" w:name="_Toc29124_WPSOffice_Level1"/>
      <w:r>
        <w:rPr>
          <w:rFonts w:hint="eastAsia"/>
          <w:sz w:val="24"/>
          <w:szCs w:val="24"/>
          <w:highlight w:val="none"/>
        </w:rPr>
        <w:t>附件</w:t>
      </w:r>
      <w:r>
        <w:rPr>
          <w:sz w:val="24"/>
          <w:szCs w:val="24"/>
          <w:highlight w:val="none"/>
        </w:rPr>
        <w:t>2</w:t>
      </w:r>
      <w:r>
        <w:rPr>
          <w:rFonts w:hint="eastAsia"/>
          <w:sz w:val="24"/>
          <w:szCs w:val="24"/>
          <w:highlight w:val="none"/>
        </w:rPr>
        <w:t>：《阳光合作协议》</w:t>
      </w:r>
      <w:bookmarkEnd w:id="51"/>
    </w:p>
    <w:p>
      <w:pPr>
        <w:spacing w:line="360" w:lineRule="auto"/>
        <w:ind w:firstLine="480" w:firstLineChars="200"/>
        <w:rPr>
          <w:sz w:val="24"/>
          <w:szCs w:val="24"/>
          <w:highlight w:val="none"/>
        </w:rPr>
      </w:pPr>
    </w:p>
    <w:p>
      <w:pPr>
        <w:rPr>
          <w:sz w:val="24"/>
          <w:szCs w:val="24"/>
          <w:highlight w:val="none"/>
        </w:rPr>
      </w:pPr>
      <w:r>
        <w:rPr>
          <w:sz w:val="24"/>
          <w:szCs w:val="24"/>
          <w:highlight w:val="none"/>
        </w:rPr>
        <w:br w:type="page"/>
      </w:r>
    </w:p>
    <w:p>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pPr>
        <w:spacing w:line="360" w:lineRule="auto"/>
        <w:ind w:firstLine="240" w:firstLineChars="100"/>
        <w:rPr>
          <w:sz w:val="24"/>
          <w:szCs w:val="24"/>
          <w:highlight w:val="none"/>
        </w:rPr>
      </w:pPr>
    </w:p>
    <w:p>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pPr>
        <w:spacing w:line="360" w:lineRule="auto"/>
        <w:ind w:firstLine="240" w:firstLineChars="100"/>
        <w:rPr>
          <w:sz w:val="24"/>
          <w:szCs w:val="24"/>
          <w:highlight w:val="none"/>
        </w:rPr>
      </w:pPr>
    </w:p>
    <w:p>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pPr>
        <w:spacing w:line="360" w:lineRule="auto"/>
        <w:ind w:left="4290" w:leftChars="100" w:hanging="4080" w:hangingChars="1700"/>
        <w:rPr>
          <w:sz w:val="24"/>
          <w:szCs w:val="24"/>
          <w:highlight w:val="none"/>
        </w:rPr>
      </w:pPr>
      <w:r>
        <w:rPr>
          <w:sz w:val="24"/>
          <w:szCs w:val="24"/>
          <w:highlight w:val="none"/>
        </w:rPr>
        <w:t xml:space="preserve">                                 </w:t>
      </w:r>
    </w:p>
    <w:p>
      <w:pPr>
        <w:pStyle w:val="2"/>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3</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pPr>
        <w:spacing w:line="360" w:lineRule="auto"/>
        <w:rPr>
          <w:rFonts w:hint="eastAsia"/>
          <w:b/>
          <w:bCs/>
          <w:sz w:val="24"/>
          <w:szCs w:val="24"/>
          <w:highlight w:val="none"/>
        </w:rPr>
      </w:pPr>
      <w:r>
        <w:rPr>
          <w:b/>
          <w:bCs/>
          <w:sz w:val="24"/>
          <w:szCs w:val="24"/>
          <w:highlight w:val="none"/>
        </w:rPr>
        <w:br w:type="page"/>
      </w:r>
      <w:bookmarkStart w:id="52"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52"/>
      <w:r>
        <w:rPr>
          <w:rFonts w:hint="eastAsia"/>
          <w:b/>
          <w:bCs/>
          <w:sz w:val="24"/>
          <w:szCs w:val="24"/>
          <w:highlight w:val="none"/>
        </w:rPr>
        <w:t>　</w:t>
      </w:r>
    </w:p>
    <w:p>
      <w:pPr>
        <w:spacing w:line="240" w:lineRule="auto"/>
        <w:rPr>
          <w:rFonts w:hint="eastAsia"/>
          <w:b/>
          <w:bCs/>
          <w:sz w:val="24"/>
          <w:szCs w:val="24"/>
          <w:highlight w:val="none"/>
        </w:rPr>
      </w:pPr>
      <w:r>
        <w:rPr>
          <w:rFonts w:hint="eastAsia"/>
          <w:b/>
          <w:bCs/>
          <w:sz w:val="24"/>
          <w:szCs w:val="24"/>
          <w:highlight w:val="none"/>
        </w:rPr>
        <w:br w:type="page"/>
      </w:r>
    </w:p>
    <w:p>
      <w:pPr>
        <w:spacing w:line="360" w:lineRule="auto"/>
        <w:rPr>
          <w:b/>
          <w:bCs/>
          <w:sz w:val="24"/>
          <w:szCs w:val="24"/>
          <w:highlight w:val="none"/>
        </w:rPr>
      </w:pPr>
      <w:bookmarkStart w:id="53" w:name="_Toc20913_WPSOffice_Level1"/>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bookmarkEnd w:id="53"/>
      <w:r>
        <w:rPr>
          <w:rFonts w:hint="eastAsia"/>
          <w:b/>
          <w:bCs/>
          <w:sz w:val="24"/>
          <w:szCs w:val="24"/>
          <w:highlight w:val="none"/>
        </w:rPr>
        <w:t>　</w:t>
      </w:r>
    </w:p>
    <w:p>
      <w:pPr>
        <w:spacing w:line="360" w:lineRule="auto"/>
        <w:jc w:val="center"/>
        <w:rPr>
          <w:rFonts w:eastAsia="方正小标宋简体"/>
          <w:b/>
          <w:color w:val="000000"/>
          <w:sz w:val="44"/>
          <w:szCs w:val="44"/>
          <w:highlight w:val="none"/>
        </w:rPr>
      </w:pPr>
      <w:bookmarkStart w:id="54" w:name="_Toc23645_WPSOffice_Level1"/>
      <w:r>
        <w:rPr>
          <w:rFonts w:hint="eastAsia" w:eastAsia="方正小标宋简体"/>
          <w:b/>
          <w:color w:val="000000"/>
          <w:sz w:val="44"/>
          <w:szCs w:val="44"/>
          <w:highlight w:val="none"/>
        </w:rPr>
        <w:t>阳光合作协议</w:t>
      </w:r>
      <w:bookmarkEnd w:id="54"/>
    </w:p>
    <w:p>
      <w:pPr>
        <w:spacing w:line="360" w:lineRule="auto"/>
        <w:rPr>
          <w:b/>
          <w:color w:val="000000"/>
          <w:sz w:val="28"/>
          <w:szCs w:val="28"/>
          <w:highlight w:val="none"/>
        </w:rPr>
      </w:pPr>
    </w:p>
    <w:p>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3</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w:t>
      </w:r>
      <w:r>
        <w:rPr>
          <w:rFonts w:hint="eastAsia"/>
          <w:highlight w:val="none"/>
          <w:lang w:eastAsia="zh-CN"/>
        </w:rPr>
        <w:t>东莞市海心沙资源综合利用中心环保热电厂生产物资采购项目（第</w:t>
      </w:r>
      <w:r>
        <w:rPr>
          <w:rFonts w:hint="eastAsia"/>
          <w:highlight w:val="none"/>
          <w:lang w:val="en-US" w:eastAsia="zh-CN"/>
        </w:rPr>
        <w:t>13</w:t>
      </w:r>
      <w:r>
        <w:rPr>
          <w:rFonts w:hint="eastAsia"/>
          <w:highlight w:val="none"/>
          <w:lang w:eastAsia="zh-CN"/>
        </w:rPr>
        <w:t>批）</w:t>
      </w:r>
      <w:r>
        <w:rPr>
          <w:rFonts w:hint="eastAsia"/>
          <w:highlight w:val="none"/>
        </w:rPr>
        <w:t>合同</w:t>
      </w:r>
      <w:r>
        <w:rPr>
          <w:rFonts w:hint="eastAsia" w:ascii="宋体" w:hAnsi="宋体"/>
          <w:color w:val="auto"/>
          <w:highlight w:val="none"/>
        </w:rPr>
        <w:t>，为加强双方阳光合作，保证职员职业安全，甲乙双方经协商签订本协议并作为双方共同遵守的阳光合作行为准则。</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部收，邮编523000。</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   年   月   日</w:t>
      </w:r>
      <w:bookmarkStart w:id="55" w:name="设计变更通知单"/>
      <w:bookmarkEnd w:id="55"/>
      <w:bookmarkStart w:id="56" w:name="现场签证通知单"/>
      <w:bookmarkEnd w:id="56"/>
      <w:r>
        <w:rPr>
          <w:highlight w:val="none"/>
        </w:rPr>
        <w:tab/>
      </w:r>
      <w:r>
        <w:rPr>
          <w:highlight w:val="none"/>
        </w:rPr>
        <w:t xml:space="preserve">    </w:t>
      </w:r>
      <w:r>
        <w:rPr>
          <w:rFonts w:hint="eastAsia"/>
          <w:highlight w:val="none"/>
        </w:rPr>
        <w:t xml:space="preserve">   </w:t>
      </w:r>
      <w:r>
        <w:rPr>
          <w:rFonts w:hint="eastAsia" w:ascii="宋体" w:hAnsi="宋体"/>
          <w:highlight w:val="none"/>
        </w:rPr>
        <w:t>签约日期：   年   月   日</w:t>
      </w:r>
    </w:p>
    <w:p>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pPr>
        <w:spacing w:before="68" w:line="201" w:lineRule="auto"/>
        <w:ind w:left="199"/>
        <w:rPr>
          <w:rFonts w:ascii="黑体" w:hAnsi="黑体" w:eastAsia="黑体" w:cs="黑体"/>
          <w:color w:val="auto"/>
          <w:highlight w:val="none"/>
        </w:rPr>
      </w:pPr>
    </w:p>
    <w:p>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pPr>
        <w:pStyle w:val="2"/>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pPr>
        <w:pStyle w:val="2"/>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ascii="黑体" w:hAnsi="黑体" w:eastAsia="黑体" w:cs="黑体"/>
          <w:sz w:val="40"/>
          <w:szCs w:val="40"/>
          <w:highlight w:val="none"/>
          <w:lang w:eastAsia="zh-CN"/>
        </w:rPr>
        <w:t>东莞市海心沙资源综合利用中心环保热电厂生产物资采购项目（第</w:t>
      </w:r>
      <w:r>
        <w:rPr>
          <w:rFonts w:hint="eastAsia" w:ascii="黑体" w:hAnsi="黑体" w:eastAsia="黑体" w:cs="黑体"/>
          <w:sz w:val="40"/>
          <w:szCs w:val="40"/>
          <w:highlight w:val="none"/>
          <w:lang w:val="en-US" w:eastAsia="zh-CN"/>
        </w:rPr>
        <w:t>13</w:t>
      </w:r>
      <w:r>
        <w:rPr>
          <w:rFonts w:hint="eastAsia" w:ascii="黑体" w:hAnsi="黑体" w:eastAsia="黑体" w:cs="黑体"/>
          <w:sz w:val="40"/>
          <w:szCs w:val="40"/>
          <w:highlight w:val="none"/>
          <w:lang w:eastAsia="zh-CN"/>
        </w:rPr>
        <w:t>批）</w:t>
      </w:r>
      <w:r>
        <w:rPr>
          <w:rFonts w:hint="eastAsia" w:ascii="黑体" w:hAnsi="黑体" w:eastAsia="黑体" w:cs="黑体"/>
          <w:sz w:val="40"/>
          <w:szCs w:val="40"/>
          <w:highlight w:val="none"/>
        </w:rPr>
        <w:t>清单</w:t>
      </w:r>
      <w:r>
        <w:rPr>
          <w:rFonts w:hint="eastAsia" w:hAnsi="宋体" w:eastAsia="宋体" w:cs="宋体"/>
          <w:sz w:val="22"/>
          <w:szCs w:val="18"/>
          <w:highlight w:val="none"/>
        </w:rPr>
        <w:t xml:space="preserve">        </w:t>
      </w:r>
    </w:p>
    <w:tbl>
      <w:tblPr>
        <w:tblStyle w:val="63"/>
        <w:tblpPr w:leftFromText="180" w:rightFromText="180" w:vertAnchor="text" w:horzAnchor="page" w:tblpX="917" w:tblpY="858"/>
        <w:tblOverlap w:val="never"/>
        <w:tblW w:w="99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584"/>
        <w:gridCol w:w="2879"/>
        <w:gridCol w:w="600"/>
        <w:gridCol w:w="711"/>
        <w:gridCol w:w="767"/>
        <w:gridCol w:w="702"/>
        <w:gridCol w:w="22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79"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584"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2879"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600" w:type="dxa"/>
            <w:noWrap w:val="0"/>
            <w:vAlign w:val="top"/>
          </w:tcPr>
          <w:p>
            <w:pPr>
              <w:pStyle w:val="2"/>
              <w:ind w:firstLine="0" w:firstLineChars="0"/>
              <w:jc w:val="both"/>
              <w:rPr>
                <w:rFonts w:hint="eastAsia"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数量</w:t>
            </w:r>
          </w:p>
        </w:tc>
        <w:tc>
          <w:tcPr>
            <w:tcW w:w="711" w:type="dxa"/>
            <w:noWrap w:val="0"/>
            <w:vAlign w:val="top"/>
          </w:tcPr>
          <w:p>
            <w:pPr>
              <w:pStyle w:val="2"/>
              <w:ind w:firstLine="0" w:firstLineChars="0"/>
              <w:jc w:val="center"/>
              <w:rPr>
                <w:rFonts w:hint="eastAsia"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单位</w:t>
            </w:r>
          </w:p>
        </w:tc>
        <w:tc>
          <w:tcPr>
            <w:tcW w:w="767" w:type="dxa"/>
            <w:noWrap w:val="0"/>
            <w:vAlign w:val="top"/>
          </w:tcPr>
          <w:p>
            <w:pPr>
              <w:pStyle w:val="2"/>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702" w:type="dxa"/>
            <w:noWrap w:val="0"/>
            <w:vAlign w:val="top"/>
          </w:tcPr>
          <w:p>
            <w:pPr>
              <w:pStyle w:val="2"/>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合计</w:t>
            </w:r>
            <w:r>
              <w:rPr>
                <w:rFonts w:hint="eastAsia" w:hAnsi="宋体" w:eastAsia="宋体" w:cs="宋体"/>
                <w:b/>
                <w:color w:val="auto"/>
                <w:sz w:val="21"/>
                <w:szCs w:val="21"/>
                <w:highlight w:val="none"/>
              </w:rPr>
              <w:t>金额（元）</w:t>
            </w:r>
          </w:p>
        </w:tc>
        <w:tc>
          <w:tcPr>
            <w:tcW w:w="2209" w:type="dxa"/>
            <w:noWrap w:val="0"/>
            <w:vAlign w:val="top"/>
          </w:tcPr>
          <w:p>
            <w:pPr>
              <w:pStyle w:val="2"/>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一、锅炉专业    咨询可联系：陆工13828914466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手动截止阀</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型号：J41H-25 PN25 DN100 ；T≤425℃；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阀体材质：WCB</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品牌：上海电站阀门厂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疏水阀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型号：CS61H-100C PN100 DN20；阀体材质：WCB</w:t>
            </w:r>
          </w:p>
        </w:tc>
        <w:tc>
          <w:tcPr>
            <w:tcW w:w="60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品牌：上海电站阀门厂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疏水阀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型号：CS41H-25C PN25 DN20；阀体材质：WCB</w:t>
            </w:r>
          </w:p>
        </w:tc>
        <w:tc>
          <w:tcPr>
            <w:tcW w:w="60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品牌：上海电站阀门厂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疏水阀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型号：CS41H-25C PN25 DN100；阀体材质：WCB</w:t>
            </w:r>
          </w:p>
        </w:tc>
        <w:tc>
          <w:tcPr>
            <w:tcW w:w="60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品牌：上海电站阀门厂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疏水阀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型号：CS61H-100C PN100 DN65；阀体材质：WCB</w:t>
            </w:r>
          </w:p>
        </w:tc>
        <w:tc>
          <w:tcPr>
            <w:tcW w:w="60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品牌：上海电站阀门厂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KC 油脂</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KC 油脂 KC 油脂No.2（日本油脂）；16kg/桶</w:t>
            </w:r>
          </w:p>
        </w:tc>
        <w:tc>
          <w:tcPr>
            <w:tcW w:w="60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桶</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润滑油</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品牌：美孚力士；型号：EP2；16kg/桶</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ascii="Times New Roman"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二、尾气行车专业    咨询可联系：陈工 13532978990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8</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荧光粉</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红色/激发波长365/粒径325nm</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150</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kg</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9</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罗茨风机海绵滤芯</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ZW-406</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cs="宋体"/>
                <w:i w:val="0"/>
                <w:iCs w:val="0"/>
                <w:color w:val="000000"/>
                <w:kern w:val="0"/>
                <w:sz w:val="18"/>
                <w:szCs w:val="18"/>
                <w:u w:val="none"/>
                <w:lang w:val="en-US" w:eastAsia="zh-CN" w:bidi="ar"/>
              </w:rPr>
              <w:t>要求原厂件：</w:t>
            </w:r>
            <w:r>
              <w:rPr>
                <w:rFonts w:hint="eastAsia" w:ascii="宋体" w:hAnsi="宋体" w:eastAsia="宋体" w:cs="宋体"/>
                <w:i w:val="0"/>
                <w:iCs w:val="0"/>
                <w:color w:val="000000"/>
                <w:kern w:val="0"/>
                <w:sz w:val="18"/>
                <w:szCs w:val="18"/>
                <w:u w:val="none"/>
                <w:lang w:val="en-US" w:eastAsia="zh-CN" w:bidi="ar"/>
              </w:rPr>
              <w:t>山东章鼓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10</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罗茨风机海绵滤芯</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ZW508</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cs="宋体"/>
                <w:i w:val="0"/>
                <w:iCs w:val="0"/>
                <w:color w:val="000000"/>
                <w:kern w:val="0"/>
                <w:sz w:val="18"/>
                <w:szCs w:val="18"/>
                <w:u w:val="none"/>
                <w:lang w:val="en-US" w:eastAsia="zh-CN" w:bidi="ar"/>
              </w:rPr>
              <w:t>要求原厂件：</w:t>
            </w:r>
            <w:r>
              <w:rPr>
                <w:rFonts w:hint="eastAsia" w:ascii="宋体" w:hAnsi="宋体" w:eastAsia="宋体" w:cs="宋体"/>
                <w:i w:val="0"/>
                <w:iCs w:val="0"/>
                <w:color w:val="000000"/>
                <w:kern w:val="0"/>
                <w:sz w:val="18"/>
                <w:szCs w:val="18"/>
                <w:u w:val="none"/>
                <w:lang w:val="en-US" w:eastAsia="zh-CN" w:bidi="ar"/>
              </w:rPr>
              <w:t>山东章鼓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11</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碳钢板材</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Q235B 1500mm*3000mm*6mm</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6</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张</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12</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不锈钢管道</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材质316 国标DN20 管壁厚3mm</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200</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米</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法兰片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材质316 国标DN20 内径26.9mm厚度15mm</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片</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法兰片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材质316 国标DN15 内径21.3mm厚度13mm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大小头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材质316 国标DN20变DN15 管壁厚3mm</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球阀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三片式   材质316 DN20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异径三通</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材质316 国标DN25变DN20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弹簧式单向阀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材质316 国标DN20 </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法兰片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 国标DN125</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法兰片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 国标DN100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透明钢丝软管</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内径130mm 管壁厚6mm  耐温100℃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活接</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直管活接 材质316 国标DN20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外牙直接</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 国标DN50 管壁厚5mm长度150mm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内牙帽盖</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 国标DN50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90°弯头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材质20G 国标DN65 PN20 Mpa  壁厚9mm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ascii="Times New Roman"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三、气机专业    咨询可联系：罗工18973133258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高级真空泵油</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VG100 500ML</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瓶</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孚莱 FLY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滤油机精滤芯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HT8333GMBH40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泰州市宏电力设备有限公司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滤油机粗滤芯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HT70150WU</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泰州市宏电力设备有限公司戚工 13405528333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垃圾吊大车电机减速机（三合一）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SK6382ABG-132LH/4 BRE100 FHL SR TW HR</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诺德（中国）传动设备有限公司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30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垃圾吊小车电机减速机（三合一）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SK5282ABG-132MH/4 BRE100 FHL SR TF</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诺德（中国）传动设备有限公司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31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行车电机圆形减震橡胶块</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外径80mm,内孔25mm,厚度40mm,双面带铁板</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jc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四、电气专业    咨询可联系：郭工13790618364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iCs w:val="0"/>
                <w:color w:val="000000"/>
                <w:kern w:val="0"/>
                <w:sz w:val="18"/>
                <w:szCs w:val="18"/>
                <w:u w:val="none"/>
                <w:lang w:val="en-US" w:eastAsia="zh-CN" w:bidi="ar"/>
              </w:rPr>
              <w:t>橡套软电缆</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YC4*10</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479" w:type="dxa"/>
            <w:noWrap w:val="0"/>
            <w:vAlign w:val="center"/>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33</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LED护栏灯</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GKL6203   AC220-240V 30W</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上海基光照明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79" w:type="dxa"/>
            <w:noWrap w:val="0"/>
            <w:vAlign w:val="center"/>
          </w:tcPr>
          <w:p>
            <w:pPr>
              <w:spacing w:before="241" w:line="185" w:lineRule="auto"/>
              <w:ind w:firstLine="156"/>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34</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智能消防巡检控制器</w:t>
            </w:r>
          </w:p>
        </w:tc>
        <w:tc>
          <w:tcPr>
            <w:tcW w:w="2879" w:type="dxa"/>
            <w:noWrap w:val="0"/>
            <w:vAlign w:val="center"/>
          </w:tcPr>
          <w:p>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18"/>
                <w:szCs w:val="18"/>
                <w:u w:val="none"/>
                <w:lang w:val="en-US" w:eastAsia="zh-CN" w:bidi="ar"/>
              </w:rPr>
              <w:t>TH-EIZ10  24V</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北京紫光新锐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center"/>
          </w:tcPr>
          <w:p>
            <w:pPr>
              <w:pStyle w:val="2"/>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35</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304不锈钢检修箱</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600X500X300mm  含漏电保护总开关一只63A3P+N 含分开关四只16A1P*2+32A3P*1 含工业插座32A5芯380V一只  含工业插座16A3芯220V两只  元器件施耐德</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国产+施耐德元器件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479" w:type="dxa"/>
            <w:noWrap w:val="0"/>
            <w:vAlign w:val="center"/>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36</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防爆检修箱</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600X500X300mm  含漏电保护总开关一只63A3P+N 含分开关四只16A1P*2+32A3P*1 含工业插座32A5芯380V一只  含工业插座16A3芯220V两只  元器件施耐德</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国产+施耐德元器件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37</w:t>
            </w:r>
          </w:p>
        </w:tc>
        <w:tc>
          <w:tcPr>
            <w:tcW w:w="1584"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垃圾吊操作手柄</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WLK3+左右</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天成自控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渣吊操作手柄</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WLK3+左右</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yellow"/>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yellow"/>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yellow"/>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天成自控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39</w:t>
            </w:r>
          </w:p>
        </w:tc>
        <w:tc>
          <w:tcPr>
            <w:tcW w:w="1584" w:type="dxa"/>
            <w:noWrap w:val="0"/>
            <w:vAlign w:val="center"/>
          </w:tcPr>
          <w:p>
            <w:pPr>
              <w:keepNext w:val="0"/>
              <w:keepLines w:val="0"/>
              <w:widowControl/>
              <w:suppressLineNumbers w:val="0"/>
              <w:jc w:val="center"/>
              <w:textAlignment w:val="center"/>
              <w:rPr>
                <w:rFonts w:hint="eastAsia" w:ascii="宋体" w:hAnsi="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手柄按钮存放盒</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长200*宽100*高100mm  材质316不锈钢</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国产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40</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电缆温度传感器</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SPS076标配</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休普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41</w:t>
            </w:r>
          </w:p>
        </w:tc>
        <w:tc>
          <w:tcPr>
            <w:tcW w:w="1584"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20"/>
                <w:szCs w:val="20"/>
                <w:u w:val="none"/>
                <w:lang w:val="en-US" w:eastAsia="zh-CN" w:bidi="ar-SA"/>
              </w:rPr>
            </w:pPr>
            <w:r>
              <w:rPr>
                <w:rFonts w:hint="eastAsia" w:ascii="宋体" w:hAnsi="宋体" w:eastAsia="宋体" w:cs="宋体"/>
                <w:i w:val="0"/>
                <w:iCs w:val="0"/>
                <w:color w:val="000000"/>
                <w:kern w:val="0"/>
                <w:sz w:val="18"/>
                <w:szCs w:val="18"/>
                <w:u w:val="none"/>
                <w:lang w:val="en-US" w:eastAsia="zh-CN" w:bidi="ar"/>
              </w:rPr>
              <w:t>电缆</w:t>
            </w:r>
          </w:p>
        </w:tc>
        <w:tc>
          <w:tcPr>
            <w:tcW w:w="2879"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20"/>
                <w:szCs w:val="20"/>
                <w:u w:val="none"/>
                <w:lang w:val="en-US" w:eastAsia="zh-CN" w:bidi="ar-SA"/>
              </w:rPr>
            </w:pPr>
            <w:r>
              <w:rPr>
                <w:rFonts w:hint="eastAsia" w:ascii="宋体" w:hAnsi="宋体" w:eastAsia="宋体" w:cs="宋体"/>
                <w:i w:val="0"/>
                <w:iCs w:val="0"/>
                <w:color w:val="000000"/>
                <w:kern w:val="0"/>
                <w:sz w:val="18"/>
                <w:szCs w:val="18"/>
                <w:u w:val="none"/>
                <w:lang w:val="en-US" w:eastAsia="zh-CN" w:bidi="ar"/>
              </w:rPr>
              <w:t>3x2.5多股橡胶软电缆</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自攻螺丝</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default" w:ascii="Arial" w:hAnsi="Arial" w:eastAsia="宋体" w:cs="Arial"/>
                <w:i w:val="0"/>
                <w:iCs w:val="0"/>
                <w:color w:val="333333"/>
                <w:kern w:val="0"/>
                <w:sz w:val="18"/>
                <w:szCs w:val="18"/>
                <w:u w:val="none"/>
                <w:lang w:val="en-US" w:eastAsia="zh-CN" w:bidi="ar"/>
              </w:rPr>
              <w:t>M4.2*25 100个</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67" w:type="dxa"/>
            <w:noWrap w:val="0"/>
            <w:vAlign w:val="center"/>
          </w:tcPr>
          <w:p>
            <w:pPr>
              <w:jc w:val="center"/>
              <w:rPr>
                <w:rFonts w:ascii="仿宋" w:hAnsi="仿宋" w:eastAsia="仿宋" w:cs="宋体"/>
                <w:color w:val="auto"/>
                <w:kern w:val="2"/>
                <w:sz w:val="20"/>
                <w:szCs w:val="20"/>
                <w:highlight w:val="yellow"/>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yellow"/>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43</w:t>
            </w:r>
          </w:p>
        </w:tc>
        <w:tc>
          <w:tcPr>
            <w:tcW w:w="1584"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20"/>
                <w:szCs w:val="20"/>
                <w:u w:val="none"/>
                <w:lang w:val="en-US" w:eastAsia="zh-CN" w:bidi="ar-SA"/>
              </w:rPr>
            </w:pPr>
            <w:r>
              <w:rPr>
                <w:rFonts w:hint="eastAsia" w:ascii="宋体" w:hAnsi="宋体" w:eastAsia="宋体" w:cs="宋体"/>
                <w:i w:val="0"/>
                <w:iCs w:val="0"/>
                <w:color w:val="000000"/>
                <w:kern w:val="0"/>
                <w:sz w:val="18"/>
                <w:szCs w:val="18"/>
                <w:u w:val="none"/>
                <w:lang w:val="en-US" w:eastAsia="zh-CN" w:bidi="ar"/>
              </w:rPr>
              <w:t>螺丝套装</w:t>
            </w:r>
          </w:p>
        </w:tc>
        <w:tc>
          <w:tcPr>
            <w:tcW w:w="2879"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20"/>
                <w:szCs w:val="20"/>
                <w:u w:val="none"/>
                <w:lang w:val="en-US" w:eastAsia="zh-CN" w:bidi="ar-SA"/>
              </w:rPr>
            </w:pPr>
            <w:r>
              <w:rPr>
                <w:rFonts w:hint="default" w:ascii="Arial" w:hAnsi="Arial" w:eastAsia="宋体" w:cs="Arial"/>
                <w:i w:val="0"/>
                <w:iCs w:val="0"/>
                <w:color w:val="333333"/>
                <w:kern w:val="0"/>
                <w:sz w:val="18"/>
                <w:szCs w:val="18"/>
                <w:u w:val="none"/>
                <w:lang w:val="en-US" w:eastAsia="zh-CN" w:bidi="ar"/>
              </w:rPr>
              <w:t>装盒装螺丝组合304十字沉头螺丝M3-M5</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44</w:t>
            </w:r>
          </w:p>
        </w:tc>
        <w:tc>
          <w:tcPr>
            <w:tcW w:w="1584"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20"/>
                <w:szCs w:val="20"/>
                <w:u w:val="none"/>
                <w:lang w:val="en-US" w:eastAsia="zh-CN" w:bidi="ar-SA"/>
              </w:rPr>
            </w:pPr>
            <w:r>
              <w:rPr>
                <w:rFonts w:hint="eastAsia" w:ascii="宋体" w:hAnsi="宋体" w:eastAsia="宋体" w:cs="宋体"/>
                <w:i w:val="0"/>
                <w:iCs w:val="0"/>
                <w:color w:val="000000"/>
                <w:kern w:val="0"/>
                <w:sz w:val="18"/>
                <w:szCs w:val="18"/>
                <w:u w:val="none"/>
                <w:lang w:val="en-US" w:eastAsia="zh-CN" w:bidi="ar"/>
              </w:rPr>
              <w:t>PVC管卡</w:t>
            </w:r>
          </w:p>
        </w:tc>
        <w:tc>
          <w:tcPr>
            <w:tcW w:w="2879" w:type="dxa"/>
            <w:noWrap w:val="0"/>
            <w:vAlign w:val="center"/>
          </w:tcPr>
          <w:p>
            <w:pPr>
              <w:keepNext w:val="0"/>
              <w:keepLines w:val="0"/>
              <w:widowControl/>
              <w:suppressLineNumbers w:val="0"/>
              <w:jc w:val="center"/>
              <w:textAlignment w:val="center"/>
              <w:rPr>
                <w:rFonts w:ascii="微软雅黑" w:hAnsi="微软雅黑" w:eastAsia="微软雅黑" w:cs="微软雅黑"/>
                <w:b w:val="0"/>
                <w:bCs w:val="0"/>
                <w:i w:val="0"/>
                <w:color w:val="000000"/>
                <w:kern w:val="2"/>
                <w:sz w:val="18"/>
                <w:szCs w:val="18"/>
                <w:u w:val="none"/>
                <w:lang w:val="en-US" w:eastAsia="zh-CN" w:bidi="ar-SA"/>
              </w:rPr>
            </w:pPr>
            <w:r>
              <w:rPr>
                <w:rFonts w:hint="default" w:ascii="Arial" w:hAnsi="Arial" w:eastAsia="宋体" w:cs="Arial"/>
                <w:b w:val="0"/>
                <w:bCs w:val="0"/>
                <w:i w:val="0"/>
                <w:iCs w:val="0"/>
                <w:color w:val="666666"/>
                <w:kern w:val="0"/>
                <w:sz w:val="18"/>
                <w:szCs w:val="18"/>
                <w:u w:val="none"/>
                <w:lang w:val="en-US" w:eastAsia="zh-CN" w:bidi="ar"/>
              </w:rPr>
              <w:t>管卡 25（100个）</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45</w:t>
            </w:r>
          </w:p>
        </w:tc>
        <w:tc>
          <w:tcPr>
            <w:tcW w:w="1584"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平头螺丝</w:t>
            </w:r>
          </w:p>
        </w:tc>
        <w:tc>
          <w:tcPr>
            <w:tcW w:w="2879" w:type="dxa"/>
            <w:noWrap w:val="0"/>
            <w:vAlign w:val="center"/>
          </w:tcPr>
          <w:p>
            <w:pPr>
              <w:keepNext w:val="0"/>
              <w:keepLines w:val="0"/>
              <w:widowControl/>
              <w:suppressLineNumbers w:val="0"/>
              <w:jc w:val="center"/>
              <w:textAlignment w:val="center"/>
              <w:rPr>
                <w:rFonts w:ascii="微软雅黑" w:hAnsi="微软雅黑" w:eastAsia="微软雅黑" w:cs="微软雅黑"/>
                <w:b w:val="0"/>
                <w:bCs w:val="0"/>
                <w:i w:val="0"/>
                <w:color w:val="000000"/>
                <w:kern w:val="2"/>
                <w:sz w:val="18"/>
                <w:szCs w:val="18"/>
                <w:u w:val="none"/>
                <w:lang w:val="en-US" w:eastAsia="zh-CN" w:bidi="ar-SA"/>
              </w:rPr>
            </w:pPr>
            <w:r>
              <w:rPr>
                <w:rFonts w:hint="default" w:ascii="Arial" w:hAnsi="Arial" w:eastAsia="宋体" w:cs="Arial"/>
                <w:b w:val="0"/>
                <w:bCs w:val="0"/>
                <w:i w:val="0"/>
                <w:iCs w:val="0"/>
                <w:color w:val="666666"/>
                <w:kern w:val="0"/>
                <w:sz w:val="18"/>
                <w:szCs w:val="18"/>
                <w:u w:val="none"/>
                <w:lang w:val="en-US" w:eastAsia="zh-CN" w:bidi="ar"/>
              </w:rPr>
              <w:t>M3.5x14[100只]</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46</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胶粒</w:t>
            </w:r>
          </w:p>
        </w:tc>
        <w:tc>
          <w:tcPr>
            <w:tcW w:w="2879" w:type="dxa"/>
            <w:noWrap w:val="0"/>
            <w:vAlign w:val="center"/>
          </w:tcPr>
          <w:p>
            <w:pPr>
              <w:keepNext w:val="0"/>
              <w:keepLines w:val="0"/>
              <w:widowControl/>
              <w:suppressLineNumbers w:val="0"/>
              <w:jc w:val="center"/>
              <w:textAlignment w:val="center"/>
              <w:rPr>
                <w:rFonts w:ascii="宋体" w:hAnsi="宋体" w:eastAsia="宋体" w:cs="宋体"/>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666666"/>
                <w:kern w:val="0"/>
                <w:sz w:val="18"/>
                <w:szCs w:val="18"/>
                <w:u w:val="none"/>
                <w:lang w:val="en-US" w:eastAsia="zh-CN" w:bidi="ar"/>
              </w:rPr>
              <w:t>6mm（500粒）</w:t>
            </w:r>
          </w:p>
        </w:tc>
        <w:tc>
          <w:tcPr>
            <w:tcW w:w="600"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47</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电力电缆</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YJV3*95+2*35</w:t>
            </w:r>
          </w:p>
        </w:tc>
        <w:tc>
          <w:tcPr>
            <w:tcW w:w="600"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南洋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48</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不锈钢304检修电源箱 </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600X500X300mm  含总开关一只400A 含分开关5只（220V63A2P*1+220V32A2P*1+220V80A2P*1+220V80A22P*1+220V80A22P*1 元器件施耐德</w:t>
            </w:r>
          </w:p>
        </w:tc>
        <w:tc>
          <w:tcPr>
            <w:tcW w:w="600"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国产+施耐德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五、热控专业    咨询可联系：袁工13750179258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49</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直流电源防浪涌保护器</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24V 直流电源防雷（电涌）保护器（震宇电子）      型号：ZYSPD05K24D</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120</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震宇电子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50</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移动硬盘</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西部数据(WD) 5TB 移动硬盘 USB3.0 Elements 新元素系列2.5英寸 机械硬盘</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西部数据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51</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铁皮剪刀</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世达（SATA）直头航空剪铁皮剪刀加长直头航空剪 93104A</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世达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52</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超声波清洗机</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科盟超声波清洗机工业实验室15L大容量360W大功率除油KM-615C</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科盟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53</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气管接头</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冰禹BJyq-67 PC外螺纹直通快速插接头 PC10-03(接10mm管3分外丝)（每包100个）</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包</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冰禹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气管接头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冰禹BJyq-67 PC外螺纹直通快速插接头 PC8-03(接8mm管3分外丝)（每包50个）</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冰禹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接近开关</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亚德客CS1-F，DC/AC5-240V 100mA</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亚德客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定制法兰盘</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材质316不锈钢，外径190mm，厚度12mm,螺丝中心孔距158mm,共8孔，中心开孔螺牙M27*2mm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涡街流量计</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型号：WFLUGB-2215FCE，流量范围280-2240m3/h,介质：天然气，防爆等级：ExdIICT6Gb,管径DN150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湖北南控仪表科技有限公司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电导率二次表及探头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+GF+电导率二次表表及探头</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jc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六、水处理专业    咨询可联系：刘工13421901444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59</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哈希COD试剂</w:t>
            </w:r>
          </w:p>
        </w:tc>
        <w:tc>
          <w:tcPr>
            <w:tcW w:w="2879" w:type="dxa"/>
            <w:noWrap w:val="0"/>
            <w:vAlign w:val="center"/>
          </w:tcPr>
          <w:p>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18"/>
                <w:szCs w:val="18"/>
                <w:u w:val="none"/>
                <w:lang w:val="en-US" w:eastAsia="zh-CN" w:bidi="ar"/>
              </w:rPr>
              <w:t>品牌：哈希，货号：2125915-CN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20-1500mg/l，150支/盒</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哈希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60</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尼龙板刷</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9号:宽约6.1cm</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61</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总磷试剂</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品牌：哈希，货号:TNT844-CN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0.5-5.0㎎/L，50支/盒</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哈希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62</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机械隔膜泵</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seko品牌，型号MS1C165B31C4080</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品牌seko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63</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机械密封</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品牌：南方，型号NISO-53/SWE4</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品牌南方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64</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KC 油脂</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KC 油脂 KC 油脂No.2（日本油脂）；16kg/桶</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桶</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65</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润滑油</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品牌：美孚力士；型号：EP2；16kg/桶</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桶</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七、安环专业    咨询可联系：王工13249988088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66</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警示隔离带</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红白 50米</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100</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卷</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67</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雪糕筒警示柱</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红白 70CM高 34CM宽</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15</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防坠器</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30米</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橡胶反光诱导标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黄黑 100mmX20mmX10mm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931" w:type="dxa"/>
            <w:gridSpan w:val="8"/>
            <w:noWrap w:val="0"/>
            <w:vAlign w:val="top"/>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八、机务检修专业    咨询可联系：廖工18677264687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电动手电钻</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东成20V无刷冲击锂电钻WJZ05-13E充电式手电钻</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品牌东成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电动手磨机</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东成20V无刷充电式角磨机WSM03-100S锂电</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品牌东成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内六角</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世达（SATA） 12件公制特长球头内六角</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品牌世达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吸尘器</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杰诺吸尘器大吸力 1600W/20L 精选版</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品牌杰诺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斜口钳</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6寸水口钳斜口钳</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品牌京选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尖嘴钳</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保联9合1多功能尖嘴钳</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品牌保联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电动螺丝刀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德力西（DELIXI） 电动螺丝刀</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品牌德力西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220V线盘</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野狼YL27011030移动电缆盘3x2.5平方30米10A</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品牌野狼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铝合金人字梯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铝合金人字梯1.5米高加厚</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品牌链工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铝合金人字梯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铝合金人字梯3米高红加厚</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品牌链工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电络铁</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宝工（Pro'sKit)SS-936H焊台电烙铁套装控温恒温电洛铁电焊台60W</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品牌宝工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铜扳手</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防爆开口扳手铝青铜13件套</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铜活动扳手</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防爆工具活扳手铝青铜8寸(实用款）</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380V线盘</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鹏艾鑫移动380V三相四线电缆盘16A线盘4芯绕线盘4*2.5/30米国标纯铜/380V</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品牌鹏艾鑫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防水插头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DTCEE防水工业插头 4芯16A插头</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品牌DTCEE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防水插头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正泰（CHNT）ip67防水航空工业插头插座三相电16A5芯16A插头</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品牌正泰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防水插头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工业插座航空插头3芯220V3芯16A插头</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J422焊条</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大桥牌THJ422 电焊条碳钢焊条J422-3.2型 20公斤/箱</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品牌大桥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角磨机切割片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工蜂角磨机切片100型砂轮片双网不锈钢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/金属切割片105mm*1.0mm*16mm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品牌工蜂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型材切割机片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金象（gold elehpant）切割片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350x3.2x25.4黑片 /片</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品牌金象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神火（Supfire）强光手电筒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多功能照明汽修带磁铁充电LED</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品牌神火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拉马</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轴承拉码分离器蝶式双盘拉马维修拆卸工具</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液氮罐</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液氮罐50L,125口径</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火钳</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铁钳工业火钳取件钳火钳工业用锻造夹持工具80CM,100CM,120CM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color w:val="auto"/>
                <w:kern w:val="2"/>
                <w:sz w:val="18"/>
                <w:szCs w:val="18"/>
                <w:highlight w:val="none"/>
                <w:lang w:val="en-US" w:eastAsia="zh-CN" w:bidi="ar-SA"/>
              </w:rPr>
              <w:t>3种规格各2把，总6把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铆钉枪</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手动省力拉帽枪铆钉枪</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东成电池工作灯电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上侧按键5寸，两侧按键5寸</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品牌东成</w:t>
            </w:r>
            <w:r>
              <w:rPr>
                <w:rFonts w:hint="eastAsia" w:ascii="宋体" w:hAnsi="宋体" w:cs="宋体"/>
                <w:i w:val="0"/>
                <w:iCs w:val="0"/>
                <w:color w:val="000000"/>
                <w:kern w:val="0"/>
                <w:sz w:val="18"/>
                <w:szCs w:val="18"/>
                <w:u w:val="none"/>
                <w:lang w:val="en-US" w:eastAsia="zh-CN" w:bidi="ar"/>
              </w:rPr>
              <w:t>，两种规格各5台，总10台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1T1M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1T3M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3T2M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3T6M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100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5T3M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101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5T8M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102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10T5M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103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10T8M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104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焊丝</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河北通明 YD-212 耐磨药芯焊丝</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品牌河北通明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4942" w:type="dxa"/>
            <w:gridSpan w:val="3"/>
            <w:noWrap w:val="0"/>
            <w:vAlign w:val="center"/>
          </w:tcPr>
          <w:p>
            <w:pPr>
              <w:spacing w:line="360" w:lineRule="auto"/>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总价合计</w:t>
            </w:r>
          </w:p>
        </w:tc>
        <w:tc>
          <w:tcPr>
            <w:tcW w:w="2780" w:type="dxa"/>
            <w:gridSpan w:val="4"/>
            <w:noWrap w:val="0"/>
            <w:vAlign w:val="center"/>
          </w:tcPr>
          <w:p>
            <w:pPr>
              <w:spacing w:line="360" w:lineRule="auto"/>
              <w:ind w:firstLine="480" w:firstLineChars="200"/>
              <w:jc w:val="both"/>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w:t>
            </w:r>
          </w:p>
        </w:tc>
        <w:tc>
          <w:tcPr>
            <w:tcW w:w="2209" w:type="dxa"/>
            <w:noWrap w:val="0"/>
            <w:vAlign w:val="center"/>
          </w:tcPr>
          <w:p>
            <w:pPr>
              <w:spacing w:before="224" w:line="178" w:lineRule="auto"/>
              <w:jc w:val="center"/>
              <w:rPr>
                <w:rFonts w:hint="eastAsia" w:ascii="仿宋_GB2312" w:hAnsi="仿宋_GB2312" w:eastAsia="仿宋_GB2312" w:cs="仿宋_GB2312"/>
                <w:b w:val="0"/>
                <w:bCs w:val="0"/>
                <w:color w:val="auto"/>
                <w:sz w:val="24"/>
                <w:szCs w:val="24"/>
                <w:highlight w:val="none"/>
              </w:rPr>
            </w:pPr>
          </w:p>
        </w:tc>
      </w:tr>
    </w:tbl>
    <w:p>
      <w:pPr>
        <w:rPr>
          <w:rFonts w:ascii="宋体" w:hAnsi="宋体"/>
          <w:sz w:val="24"/>
          <w:szCs w:val="24"/>
          <w:highlight w:val="none"/>
        </w:rPr>
      </w:pPr>
      <w:r>
        <w:rPr>
          <w:rFonts w:ascii="宋体" w:hAnsi="宋体"/>
          <w:sz w:val="24"/>
          <w:szCs w:val="24"/>
          <w:highlight w:val="none"/>
        </w:rPr>
        <w:br w:type="page"/>
      </w:r>
    </w:p>
    <w:p>
      <w:pPr>
        <w:pStyle w:val="2"/>
        <w:jc w:val="center"/>
        <w:rPr>
          <w:rFonts w:hint="eastAsia"/>
          <w:sz w:val="32"/>
          <w:szCs w:val="28"/>
          <w:highlight w:val="none"/>
          <w:lang w:val="en-US" w:eastAsia="zh-CN"/>
        </w:rPr>
      </w:pPr>
      <w:r>
        <w:rPr>
          <w:rFonts w:hint="eastAsia"/>
          <w:sz w:val="32"/>
          <w:szCs w:val="28"/>
          <w:highlight w:val="none"/>
          <w:lang w:val="en-US" w:eastAsia="zh-CN"/>
        </w:rPr>
        <w:t>部分物资参考图片</w:t>
      </w:r>
    </w:p>
    <w:p>
      <w:pPr>
        <w:pStyle w:val="2"/>
        <w:rPr>
          <w:rFonts w:hint="eastAsia" w:ascii="宋体" w:hAnsi="宋体" w:cs="宋体"/>
          <w:i w:val="0"/>
          <w:color w:val="000000"/>
          <w:kern w:val="0"/>
          <w:sz w:val="18"/>
          <w:szCs w:val="18"/>
          <w:u w:val="none"/>
          <w:lang w:val="en-US" w:eastAsia="zh-CN" w:bidi="ar"/>
        </w:rPr>
      </w:pPr>
      <w:r>
        <w:rPr>
          <w:rFonts w:hint="eastAsia" w:ascii="宋体" w:hAnsi="宋体" w:cs="宋体"/>
          <w:i w:val="0"/>
          <w:iCs w:val="0"/>
          <w:color w:val="000000"/>
          <w:kern w:val="0"/>
          <w:sz w:val="28"/>
          <w:szCs w:val="28"/>
          <w:u w:val="none"/>
          <w:lang w:val="en-US" w:eastAsia="zh-CN" w:bidi="ar"/>
        </w:rPr>
        <w:t>行车电机圆形减震橡胶块</w:t>
      </w:r>
      <w:r>
        <w:rPr>
          <w:rFonts w:hint="eastAsia" w:ascii="宋体" w:hAnsi="宋体" w:cs="宋体"/>
          <w:i w:val="0"/>
          <w:color w:val="000000"/>
          <w:kern w:val="0"/>
          <w:sz w:val="18"/>
          <w:szCs w:val="18"/>
          <w:u w:val="none"/>
          <w:lang w:val="en-US" w:eastAsia="zh-CN" w:bidi="ar"/>
        </w:rPr>
        <w:t>：</w:t>
      </w:r>
    </w:p>
    <w:p>
      <w:pPr>
        <w:pStyle w:val="3"/>
      </w:pPr>
      <w:r>
        <w:drawing>
          <wp:inline distT="0" distB="0" distL="114300" distR="114300">
            <wp:extent cx="1740535" cy="1565910"/>
            <wp:effectExtent l="0" t="0" r="12065" b="8890"/>
            <wp:docPr id="32" name="图片 31"/>
            <wp:cNvGraphicFramePr/>
            <a:graphic xmlns:a="http://schemas.openxmlformats.org/drawingml/2006/main">
              <a:graphicData uri="http://schemas.openxmlformats.org/drawingml/2006/picture">
                <pic:pic xmlns:pic="http://schemas.openxmlformats.org/drawingml/2006/picture">
                  <pic:nvPicPr>
                    <pic:cNvPr id="32" name="图片 31"/>
                    <pic:cNvPicPr/>
                  </pic:nvPicPr>
                  <pic:blipFill>
                    <a:blip r:embed="rId11" r:link="rId12"/>
                    <a:stretch>
                      <a:fillRect/>
                    </a:stretch>
                  </pic:blipFill>
                  <pic:spPr>
                    <a:xfrm>
                      <a:off x="0" y="0"/>
                      <a:ext cx="1740535" cy="1565910"/>
                    </a:xfrm>
                    <a:prstGeom prst="rect">
                      <a:avLst/>
                    </a:prstGeom>
                  </pic:spPr>
                </pic:pic>
              </a:graphicData>
            </a:graphic>
          </wp:inline>
        </w:drawing>
      </w:r>
    </w:p>
    <w:p>
      <w:pPr>
        <w:pStyle w:val="3"/>
        <w:rPr>
          <w:rFonts w:hint="eastAsia"/>
          <w:sz w:val="28"/>
          <w:szCs w:val="28"/>
          <w:lang w:val="en-US" w:eastAsia="zh-CN"/>
        </w:rPr>
      </w:pPr>
      <w:r>
        <w:rPr>
          <w:rFonts w:hint="eastAsia"/>
          <w:sz w:val="28"/>
          <w:szCs w:val="28"/>
          <w:lang w:val="en-US" w:eastAsia="zh-CN"/>
        </w:rPr>
        <w:t>接近开关：</w:t>
      </w:r>
    </w:p>
    <w:p>
      <w:pPr>
        <w:pStyle w:val="3"/>
      </w:pPr>
      <w:r>
        <w:drawing>
          <wp:inline distT="0" distB="0" distL="114300" distR="114300">
            <wp:extent cx="1757680" cy="1674495"/>
            <wp:effectExtent l="0" t="0" r="7620" b="1905"/>
            <wp:docPr id="63" name="63"/>
            <wp:cNvGraphicFramePr/>
            <a:graphic xmlns:a="http://schemas.openxmlformats.org/drawingml/2006/main">
              <a:graphicData uri="http://schemas.openxmlformats.org/drawingml/2006/picture">
                <pic:pic xmlns:pic="http://schemas.openxmlformats.org/drawingml/2006/picture">
                  <pic:nvPicPr>
                    <pic:cNvPr id="63" name="63"/>
                    <pic:cNvPicPr/>
                  </pic:nvPicPr>
                  <pic:blipFill>
                    <a:blip r:embed="rId13" r:link="rId12"/>
                    <a:stretch>
                      <a:fillRect/>
                    </a:stretch>
                  </pic:blipFill>
                  <pic:spPr>
                    <a:xfrm>
                      <a:off x="0" y="0"/>
                      <a:ext cx="1757680" cy="1674495"/>
                    </a:xfrm>
                    <a:prstGeom prst="rect">
                      <a:avLst/>
                    </a:prstGeom>
                  </pic:spPr>
                </pic:pic>
              </a:graphicData>
            </a:graphic>
          </wp:inline>
        </w:drawing>
      </w:r>
    </w:p>
    <w:p>
      <w:pPr>
        <w:pStyle w:val="3"/>
        <w:rPr>
          <w:rFonts w:hint="eastAsia"/>
          <w:sz w:val="28"/>
          <w:szCs w:val="28"/>
          <w:lang w:val="en-US" w:eastAsia="zh-CN"/>
        </w:rPr>
      </w:pPr>
      <w:r>
        <w:rPr>
          <w:rFonts w:hint="eastAsia"/>
          <w:sz w:val="28"/>
          <w:szCs w:val="28"/>
          <w:lang w:val="en-US" w:eastAsia="zh-CN"/>
        </w:rPr>
        <w:t>定制法兰盘：</w:t>
      </w:r>
    </w:p>
    <w:p>
      <w:pPr>
        <w:pStyle w:val="3"/>
      </w:pPr>
      <w:r>
        <w:drawing>
          <wp:inline distT="0" distB="0" distL="114300" distR="114300">
            <wp:extent cx="1777365" cy="1075055"/>
            <wp:effectExtent l="0" t="0" r="635" b="4445"/>
            <wp:docPr id="62" name="62"/>
            <wp:cNvGraphicFramePr/>
            <a:graphic xmlns:a="http://schemas.openxmlformats.org/drawingml/2006/main">
              <a:graphicData uri="http://schemas.openxmlformats.org/drawingml/2006/picture">
                <pic:pic xmlns:pic="http://schemas.openxmlformats.org/drawingml/2006/picture">
                  <pic:nvPicPr>
                    <pic:cNvPr id="62" name="62"/>
                    <pic:cNvPicPr/>
                  </pic:nvPicPr>
                  <pic:blipFill>
                    <a:blip r:embed="rId14" r:link="rId12"/>
                    <a:stretch>
                      <a:fillRect/>
                    </a:stretch>
                  </pic:blipFill>
                  <pic:spPr>
                    <a:xfrm>
                      <a:off x="0" y="0"/>
                      <a:ext cx="1777365" cy="1075055"/>
                    </a:xfrm>
                    <a:prstGeom prst="rect">
                      <a:avLst/>
                    </a:prstGeom>
                  </pic:spPr>
                </pic:pic>
              </a:graphicData>
            </a:graphic>
          </wp:inline>
        </w:drawing>
      </w:r>
    </w:p>
    <w:p>
      <w:pPr>
        <w:pStyle w:val="3"/>
        <w:rPr>
          <w:rFonts w:hint="eastAsia"/>
          <w:sz w:val="28"/>
          <w:szCs w:val="28"/>
          <w:lang w:val="en-US" w:eastAsia="zh-CN"/>
        </w:rPr>
      </w:pPr>
      <w:r>
        <w:rPr>
          <w:rFonts w:hint="eastAsia"/>
          <w:sz w:val="28"/>
          <w:szCs w:val="28"/>
          <w:lang w:val="en-US" w:eastAsia="zh-CN"/>
        </w:rPr>
        <w:t>涡街流量计：</w:t>
      </w:r>
    </w:p>
    <w:p>
      <w:pPr>
        <w:pStyle w:val="3"/>
      </w:pPr>
      <w:r>
        <w:drawing>
          <wp:inline distT="0" distB="0" distL="114300" distR="114300">
            <wp:extent cx="1799590" cy="1253490"/>
            <wp:effectExtent l="0" t="0" r="3810" b="3810"/>
            <wp:docPr id="60" name="60"/>
            <wp:cNvGraphicFramePr/>
            <a:graphic xmlns:a="http://schemas.openxmlformats.org/drawingml/2006/main">
              <a:graphicData uri="http://schemas.openxmlformats.org/drawingml/2006/picture">
                <pic:pic xmlns:pic="http://schemas.openxmlformats.org/drawingml/2006/picture">
                  <pic:nvPicPr>
                    <pic:cNvPr id="60" name="60"/>
                    <pic:cNvPicPr/>
                  </pic:nvPicPr>
                  <pic:blipFill>
                    <a:blip r:embed="rId15" r:link="rId12"/>
                    <a:stretch>
                      <a:fillRect/>
                    </a:stretch>
                  </pic:blipFill>
                  <pic:spPr>
                    <a:xfrm>
                      <a:off x="0" y="0"/>
                      <a:ext cx="1799590" cy="125349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电导率二次表及探头：</w:t>
      </w:r>
    </w:p>
    <w:p>
      <w:pPr>
        <w:pStyle w:val="3"/>
        <w:ind w:left="0" w:leftChars="0" w:firstLine="0" w:firstLineChars="0"/>
      </w:pPr>
      <w:r>
        <w:drawing>
          <wp:inline distT="0" distB="0" distL="114300" distR="114300">
            <wp:extent cx="1825625" cy="1256030"/>
            <wp:effectExtent l="0" t="0" r="3175" b="1270"/>
            <wp:docPr id="61" name="61"/>
            <wp:cNvGraphicFramePr/>
            <a:graphic xmlns:a="http://schemas.openxmlformats.org/drawingml/2006/main">
              <a:graphicData uri="http://schemas.openxmlformats.org/drawingml/2006/picture">
                <pic:pic xmlns:pic="http://schemas.openxmlformats.org/drawingml/2006/picture">
                  <pic:nvPicPr>
                    <pic:cNvPr id="61" name="61"/>
                    <pic:cNvPicPr/>
                  </pic:nvPicPr>
                  <pic:blipFill>
                    <a:blip r:embed="rId16" r:link="rId12"/>
                    <a:stretch>
                      <a:fillRect/>
                    </a:stretch>
                  </pic:blipFill>
                  <pic:spPr>
                    <a:xfrm>
                      <a:off x="0" y="0"/>
                      <a:ext cx="1825625" cy="125603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机械隔膜泵：</w:t>
      </w:r>
    </w:p>
    <w:p>
      <w:pPr>
        <w:pStyle w:val="3"/>
        <w:ind w:left="0" w:leftChars="0" w:firstLine="0" w:firstLineChars="0"/>
      </w:pPr>
      <w:r>
        <w:drawing>
          <wp:inline distT="0" distB="0" distL="114300" distR="114300">
            <wp:extent cx="1677670" cy="1487805"/>
            <wp:effectExtent l="0" t="0" r="11430" b="10795"/>
            <wp:docPr id="51" name="图片 50"/>
            <wp:cNvGraphicFramePr/>
            <a:graphic xmlns:a="http://schemas.openxmlformats.org/drawingml/2006/main">
              <a:graphicData uri="http://schemas.openxmlformats.org/drawingml/2006/picture">
                <pic:pic xmlns:pic="http://schemas.openxmlformats.org/drawingml/2006/picture">
                  <pic:nvPicPr>
                    <pic:cNvPr id="51" name="图片 50"/>
                    <pic:cNvPicPr/>
                  </pic:nvPicPr>
                  <pic:blipFill>
                    <a:blip r:embed="rId17" r:link="rId12"/>
                    <a:stretch>
                      <a:fillRect/>
                    </a:stretch>
                  </pic:blipFill>
                  <pic:spPr>
                    <a:xfrm>
                      <a:off x="0" y="0"/>
                      <a:ext cx="1677670" cy="1487805"/>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机械密封：</w:t>
      </w:r>
    </w:p>
    <w:p>
      <w:pPr>
        <w:pStyle w:val="3"/>
        <w:ind w:left="0" w:leftChars="0" w:firstLine="0" w:firstLineChars="0"/>
      </w:pPr>
      <w:r>
        <w:drawing>
          <wp:inline distT="0" distB="0" distL="114300" distR="114300">
            <wp:extent cx="1675130" cy="1285875"/>
            <wp:effectExtent l="0" t="0" r="1270" b="9525"/>
            <wp:docPr id="58" name="图片 57"/>
            <wp:cNvGraphicFramePr/>
            <a:graphic xmlns:a="http://schemas.openxmlformats.org/drawingml/2006/main">
              <a:graphicData uri="http://schemas.openxmlformats.org/drawingml/2006/picture">
                <pic:pic xmlns:pic="http://schemas.openxmlformats.org/drawingml/2006/picture">
                  <pic:nvPicPr>
                    <pic:cNvPr id="58" name="图片 57"/>
                    <pic:cNvPicPr/>
                  </pic:nvPicPr>
                  <pic:blipFill>
                    <a:blip r:embed="rId18" r:link="rId12"/>
                    <a:stretch>
                      <a:fillRect/>
                    </a:stretch>
                  </pic:blipFill>
                  <pic:spPr>
                    <a:xfrm>
                      <a:off x="0" y="0"/>
                      <a:ext cx="1675130" cy="1285875"/>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橡胶反光诱导标：</w:t>
      </w:r>
    </w:p>
    <w:p>
      <w:pPr>
        <w:pStyle w:val="3"/>
        <w:ind w:left="0" w:leftChars="0" w:firstLine="0" w:firstLineChars="0"/>
      </w:pPr>
      <w:r>
        <w:drawing>
          <wp:inline distT="0" distB="0" distL="114300" distR="114300">
            <wp:extent cx="1649095" cy="1418590"/>
            <wp:effectExtent l="0" t="0" r="190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1649095" cy="1418590"/>
                    </a:xfrm>
                    <a:prstGeom prst="rect">
                      <a:avLst/>
                    </a:prstGeom>
                    <a:noFill/>
                    <a:ln>
                      <a:noFill/>
                    </a:ln>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电动手电钻：</w:t>
      </w:r>
    </w:p>
    <w:p>
      <w:pPr>
        <w:pStyle w:val="3"/>
        <w:ind w:left="0" w:leftChars="0" w:firstLine="0" w:firstLineChars="0"/>
      </w:pPr>
      <w:r>
        <w:drawing>
          <wp:inline distT="0" distB="0" distL="114300" distR="114300">
            <wp:extent cx="1471930" cy="1246505"/>
            <wp:effectExtent l="0" t="0" r="1270" b="10795"/>
            <wp:docPr id="33" name="图片 32"/>
            <wp:cNvGraphicFramePr/>
            <a:graphic xmlns:a="http://schemas.openxmlformats.org/drawingml/2006/main">
              <a:graphicData uri="http://schemas.openxmlformats.org/drawingml/2006/picture">
                <pic:pic xmlns:pic="http://schemas.openxmlformats.org/drawingml/2006/picture">
                  <pic:nvPicPr>
                    <pic:cNvPr id="33" name="图片 32"/>
                    <pic:cNvPicPr/>
                  </pic:nvPicPr>
                  <pic:blipFill>
                    <a:blip r:embed="rId20" r:link="rId12"/>
                    <a:stretch>
                      <a:fillRect/>
                    </a:stretch>
                  </pic:blipFill>
                  <pic:spPr>
                    <a:xfrm>
                      <a:off x="0" y="0"/>
                      <a:ext cx="1471930" cy="1246505"/>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电动手磨机：</w:t>
      </w:r>
    </w:p>
    <w:p>
      <w:pPr>
        <w:pStyle w:val="3"/>
        <w:ind w:left="0" w:leftChars="0" w:firstLine="0" w:firstLineChars="0"/>
      </w:pPr>
      <w:r>
        <w:drawing>
          <wp:inline distT="0" distB="0" distL="114300" distR="114300">
            <wp:extent cx="1399540" cy="1171575"/>
            <wp:effectExtent l="0" t="0" r="10160" b="9525"/>
            <wp:docPr id="53" name="图片 52"/>
            <wp:cNvGraphicFramePr/>
            <a:graphic xmlns:a="http://schemas.openxmlformats.org/drawingml/2006/main">
              <a:graphicData uri="http://schemas.openxmlformats.org/drawingml/2006/picture">
                <pic:pic xmlns:pic="http://schemas.openxmlformats.org/drawingml/2006/picture">
                  <pic:nvPicPr>
                    <pic:cNvPr id="53" name="图片 52"/>
                    <pic:cNvPicPr/>
                  </pic:nvPicPr>
                  <pic:blipFill>
                    <a:blip r:embed="rId21" r:link="rId12"/>
                    <a:stretch>
                      <a:fillRect/>
                    </a:stretch>
                  </pic:blipFill>
                  <pic:spPr>
                    <a:xfrm>
                      <a:off x="0" y="0"/>
                      <a:ext cx="1399540" cy="1171575"/>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电动螺丝刀：</w:t>
      </w:r>
    </w:p>
    <w:p>
      <w:pPr>
        <w:pStyle w:val="3"/>
        <w:ind w:left="0" w:leftChars="0" w:firstLine="0" w:firstLineChars="0"/>
      </w:pPr>
      <w:r>
        <w:drawing>
          <wp:inline distT="0" distB="0" distL="114300" distR="114300">
            <wp:extent cx="1454785" cy="1465580"/>
            <wp:effectExtent l="0" t="0" r="5715" b="7620"/>
            <wp:docPr id="35" name="图片 34"/>
            <wp:cNvGraphicFramePr/>
            <a:graphic xmlns:a="http://schemas.openxmlformats.org/drawingml/2006/main">
              <a:graphicData uri="http://schemas.openxmlformats.org/drawingml/2006/picture">
                <pic:pic xmlns:pic="http://schemas.openxmlformats.org/drawingml/2006/picture">
                  <pic:nvPicPr>
                    <pic:cNvPr id="35" name="图片 34"/>
                    <pic:cNvPicPr/>
                  </pic:nvPicPr>
                  <pic:blipFill>
                    <a:blip r:embed="rId22" r:link="rId12"/>
                    <a:stretch>
                      <a:fillRect/>
                    </a:stretch>
                  </pic:blipFill>
                  <pic:spPr>
                    <a:xfrm>
                      <a:off x="0" y="0"/>
                      <a:ext cx="1454785" cy="146558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电络铁：</w:t>
      </w:r>
    </w:p>
    <w:p>
      <w:pPr>
        <w:pStyle w:val="3"/>
        <w:ind w:left="0" w:leftChars="0" w:firstLine="0" w:firstLineChars="0"/>
      </w:pPr>
      <w:r>
        <w:drawing>
          <wp:inline distT="0" distB="0" distL="114300" distR="114300">
            <wp:extent cx="1499870" cy="1197610"/>
            <wp:effectExtent l="0" t="0" r="11430" b="8890"/>
            <wp:docPr id="30" name="图片 29"/>
            <wp:cNvGraphicFramePr/>
            <a:graphic xmlns:a="http://schemas.openxmlformats.org/drawingml/2006/main">
              <a:graphicData uri="http://schemas.openxmlformats.org/drawingml/2006/picture">
                <pic:pic xmlns:pic="http://schemas.openxmlformats.org/drawingml/2006/picture">
                  <pic:nvPicPr>
                    <pic:cNvPr id="30" name="图片 29"/>
                    <pic:cNvPicPr/>
                  </pic:nvPicPr>
                  <pic:blipFill>
                    <a:blip r:embed="rId23" r:link="rId12"/>
                    <a:stretch>
                      <a:fillRect/>
                    </a:stretch>
                  </pic:blipFill>
                  <pic:spPr>
                    <a:xfrm>
                      <a:off x="0" y="0"/>
                      <a:ext cx="1499870" cy="119761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防水插头：</w:t>
      </w:r>
    </w:p>
    <w:p>
      <w:pPr>
        <w:pStyle w:val="3"/>
        <w:ind w:left="0" w:leftChars="0" w:firstLine="0" w:firstLineChars="0"/>
        <w:rPr>
          <w:rFonts w:hint="eastAsia"/>
          <w:sz w:val="28"/>
          <w:szCs w:val="28"/>
          <w:lang w:val="en-US" w:eastAsia="zh-CN"/>
        </w:rPr>
      </w:pPr>
      <w:r>
        <w:drawing>
          <wp:inline distT="0" distB="0" distL="114300" distR="114300">
            <wp:extent cx="1510665" cy="918210"/>
            <wp:effectExtent l="0" t="0" r="635" b="8890"/>
            <wp:docPr id="54" name="图片 53"/>
            <wp:cNvGraphicFramePr/>
            <a:graphic xmlns:a="http://schemas.openxmlformats.org/drawingml/2006/main">
              <a:graphicData uri="http://schemas.openxmlformats.org/drawingml/2006/picture">
                <pic:pic xmlns:pic="http://schemas.openxmlformats.org/drawingml/2006/picture">
                  <pic:nvPicPr>
                    <pic:cNvPr id="54" name="图片 53"/>
                    <pic:cNvPicPr/>
                  </pic:nvPicPr>
                  <pic:blipFill>
                    <a:blip r:embed="rId24" r:link="rId12"/>
                    <a:stretch>
                      <a:fillRect/>
                    </a:stretch>
                  </pic:blipFill>
                  <pic:spPr>
                    <a:xfrm>
                      <a:off x="0" y="0"/>
                      <a:ext cx="1510665" cy="918210"/>
                    </a:xfrm>
                    <a:prstGeom prst="rect">
                      <a:avLst/>
                    </a:prstGeom>
                  </pic:spPr>
                </pic:pic>
              </a:graphicData>
            </a:graphic>
          </wp:inline>
        </w:drawing>
      </w:r>
    </w:p>
    <w:p>
      <w:pPr>
        <w:pStyle w:val="3"/>
        <w:rPr>
          <w:rFonts w:hint="eastAsia"/>
          <w:sz w:val="28"/>
          <w:szCs w:val="28"/>
          <w:lang w:val="en-US" w:eastAsia="zh-CN"/>
        </w:rPr>
      </w:pPr>
      <w:r>
        <w:rPr>
          <w:rFonts w:hint="eastAsia"/>
          <w:sz w:val="28"/>
          <w:szCs w:val="28"/>
          <w:lang w:val="en-US" w:eastAsia="zh-CN"/>
        </w:rPr>
        <w:t>拉马：</w:t>
      </w:r>
    </w:p>
    <w:p>
      <w:pPr>
        <w:pStyle w:val="3"/>
        <w:rPr>
          <w:rFonts w:hint="eastAsia"/>
          <w:sz w:val="28"/>
          <w:szCs w:val="28"/>
          <w:lang w:val="en-US" w:eastAsia="zh-CN"/>
        </w:rPr>
      </w:pPr>
      <w:r>
        <w:drawing>
          <wp:inline distT="0" distB="0" distL="114300" distR="114300">
            <wp:extent cx="1531620" cy="1297940"/>
            <wp:effectExtent l="0" t="0" r="5080" b="10160"/>
            <wp:docPr id="46" name="图片 45"/>
            <wp:cNvGraphicFramePr/>
            <a:graphic xmlns:a="http://schemas.openxmlformats.org/drawingml/2006/main">
              <a:graphicData uri="http://schemas.openxmlformats.org/drawingml/2006/picture">
                <pic:pic xmlns:pic="http://schemas.openxmlformats.org/drawingml/2006/picture">
                  <pic:nvPicPr>
                    <pic:cNvPr id="46" name="图片 45"/>
                    <pic:cNvPicPr/>
                  </pic:nvPicPr>
                  <pic:blipFill>
                    <a:blip r:embed="rId25" r:link="rId12"/>
                    <a:stretch>
                      <a:fillRect/>
                    </a:stretch>
                  </pic:blipFill>
                  <pic:spPr>
                    <a:xfrm>
                      <a:off x="0" y="0"/>
                      <a:ext cx="1531620" cy="129794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default"/>
          <w:sz w:val="28"/>
          <w:szCs w:val="28"/>
          <w:lang w:val="en-US" w:eastAsia="zh-CN"/>
        </w:rPr>
        <w:t>液氮罐</w:t>
      </w:r>
      <w:r>
        <w:rPr>
          <w:rFonts w:hint="eastAsia"/>
          <w:sz w:val="28"/>
          <w:szCs w:val="28"/>
          <w:lang w:val="en-US" w:eastAsia="zh-CN"/>
        </w:rPr>
        <w:t>：</w:t>
      </w:r>
    </w:p>
    <w:p>
      <w:pPr>
        <w:pStyle w:val="3"/>
        <w:ind w:left="0" w:leftChars="0" w:firstLine="0" w:firstLineChars="0"/>
      </w:pPr>
      <w:r>
        <w:drawing>
          <wp:inline distT="0" distB="0" distL="114300" distR="114300">
            <wp:extent cx="1732915" cy="1543050"/>
            <wp:effectExtent l="0" t="0" r="6985" b="6350"/>
            <wp:docPr id="31" name="图片 30"/>
            <wp:cNvGraphicFramePr/>
            <a:graphic xmlns:a="http://schemas.openxmlformats.org/drawingml/2006/main">
              <a:graphicData uri="http://schemas.openxmlformats.org/drawingml/2006/picture">
                <pic:pic xmlns:pic="http://schemas.openxmlformats.org/drawingml/2006/picture">
                  <pic:nvPicPr>
                    <pic:cNvPr id="31" name="图片 30"/>
                    <pic:cNvPicPr/>
                  </pic:nvPicPr>
                  <pic:blipFill>
                    <a:blip r:embed="rId26" r:link="rId12"/>
                    <a:stretch>
                      <a:fillRect/>
                    </a:stretch>
                  </pic:blipFill>
                  <pic:spPr>
                    <a:xfrm>
                      <a:off x="0" y="0"/>
                      <a:ext cx="1732915" cy="154305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default"/>
          <w:sz w:val="28"/>
          <w:szCs w:val="28"/>
          <w:lang w:val="en-US" w:eastAsia="zh-CN"/>
        </w:rPr>
        <w:t>铆钉枪</w:t>
      </w:r>
      <w:r>
        <w:rPr>
          <w:rFonts w:hint="eastAsia"/>
          <w:sz w:val="28"/>
          <w:szCs w:val="28"/>
          <w:lang w:val="en-US" w:eastAsia="zh-CN"/>
        </w:rPr>
        <w:t>：</w:t>
      </w:r>
    </w:p>
    <w:p>
      <w:pPr>
        <w:pStyle w:val="3"/>
        <w:ind w:left="0" w:leftChars="0" w:firstLine="0" w:firstLineChars="0"/>
      </w:pPr>
      <w:r>
        <w:drawing>
          <wp:inline distT="0" distB="0" distL="114300" distR="114300">
            <wp:extent cx="1680845" cy="1512570"/>
            <wp:effectExtent l="0" t="0" r="8255" b="11430"/>
            <wp:docPr id="39" name="图片 38"/>
            <wp:cNvGraphicFramePr/>
            <a:graphic xmlns:a="http://schemas.openxmlformats.org/drawingml/2006/main">
              <a:graphicData uri="http://schemas.openxmlformats.org/drawingml/2006/picture">
                <pic:pic xmlns:pic="http://schemas.openxmlformats.org/drawingml/2006/picture">
                  <pic:nvPicPr>
                    <pic:cNvPr id="39" name="图片 38"/>
                    <pic:cNvPicPr/>
                  </pic:nvPicPr>
                  <pic:blipFill>
                    <a:blip r:embed="rId27" r:link="rId12"/>
                    <a:stretch>
                      <a:fillRect/>
                    </a:stretch>
                  </pic:blipFill>
                  <pic:spPr>
                    <a:xfrm>
                      <a:off x="0" y="0"/>
                      <a:ext cx="1680845" cy="151257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焊丝：</w:t>
      </w:r>
    </w:p>
    <w:p>
      <w:pPr>
        <w:pStyle w:val="3"/>
        <w:ind w:left="0" w:leftChars="0" w:firstLine="0" w:firstLineChars="0"/>
        <w:rPr>
          <w:rFonts w:hint="eastAsia"/>
          <w:sz w:val="28"/>
          <w:szCs w:val="28"/>
          <w:lang w:val="en-US" w:eastAsia="zh-CN"/>
        </w:rPr>
      </w:pPr>
      <w:r>
        <w:drawing>
          <wp:inline distT="0" distB="0" distL="114300" distR="114300">
            <wp:extent cx="1790700" cy="1600200"/>
            <wp:effectExtent l="0" t="0" r="0" b="0"/>
            <wp:docPr id="42" name="图片 41"/>
            <wp:cNvGraphicFramePr/>
            <a:graphic xmlns:a="http://schemas.openxmlformats.org/drawingml/2006/main">
              <a:graphicData uri="http://schemas.openxmlformats.org/drawingml/2006/picture">
                <pic:pic xmlns:pic="http://schemas.openxmlformats.org/drawingml/2006/picture">
                  <pic:nvPicPr>
                    <pic:cNvPr id="42" name="图片 41"/>
                    <pic:cNvPicPr/>
                  </pic:nvPicPr>
                  <pic:blipFill>
                    <a:blip r:embed="rId28" r:link="rId12"/>
                    <a:stretch>
                      <a:fillRect/>
                    </a:stretch>
                  </pic:blipFill>
                  <pic:spPr>
                    <a:xfrm>
                      <a:off x="0" y="0"/>
                      <a:ext cx="1790700" cy="1600200"/>
                    </a:xfrm>
                    <a:prstGeom prst="rect">
                      <a:avLst/>
                    </a:prstGeom>
                  </pic:spPr>
                </pic:pic>
              </a:graphicData>
            </a:graphic>
          </wp:inline>
        </w:drawing>
      </w:r>
    </w:p>
    <w:p>
      <w:pPr>
        <w:pStyle w:val="3"/>
        <w:rPr>
          <w:rFonts w:hint="eastAsia"/>
          <w:lang w:val="en-US" w:eastAsia="zh-CN"/>
        </w:rPr>
      </w:pP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创艺简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pPr>
          <w:pStyle w:val="10"/>
          <w:spacing w:before="120"/>
          <w:jc w:val="center"/>
        </w:pPr>
      </w:p>
    </w:sdtContent>
  </w:sdt>
  <w:p>
    <w:pPr>
      <w:pStyle w:val="10"/>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99A159"/>
    <w:multiLevelType w:val="singleLevel"/>
    <w:tmpl w:val="6099A159"/>
    <w:lvl w:ilvl="0" w:tentative="0">
      <w:start w:val="1"/>
      <w:numFmt w:val="decimal"/>
      <w:suff w:val="nothing"/>
      <w:lvlText w:val="%1、"/>
      <w:lvlJc w:val="left"/>
      <w:pPr>
        <w:ind w:left="-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8A2978"/>
    <w:rsid w:val="01E9256F"/>
    <w:rsid w:val="01F91325"/>
    <w:rsid w:val="0204131B"/>
    <w:rsid w:val="02063739"/>
    <w:rsid w:val="028770D3"/>
    <w:rsid w:val="028B66D5"/>
    <w:rsid w:val="02AC173E"/>
    <w:rsid w:val="02BE582C"/>
    <w:rsid w:val="02CF3119"/>
    <w:rsid w:val="02D5471B"/>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480FC7"/>
    <w:rsid w:val="045022DD"/>
    <w:rsid w:val="045D36CC"/>
    <w:rsid w:val="04981731"/>
    <w:rsid w:val="049F0C1B"/>
    <w:rsid w:val="04A5035F"/>
    <w:rsid w:val="04A649F6"/>
    <w:rsid w:val="04C85B77"/>
    <w:rsid w:val="04CF6E29"/>
    <w:rsid w:val="04E43B75"/>
    <w:rsid w:val="05082192"/>
    <w:rsid w:val="050C59EA"/>
    <w:rsid w:val="050D2A9B"/>
    <w:rsid w:val="054C4B13"/>
    <w:rsid w:val="0566036B"/>
    <w:rsid w:val="05663D21"/>
    <w:rsid w:val="056A0D08"/>
    <w:rsid w:val="059366CF"/>
    <w:rsid w:val="05B005E5"/>
    <w:rsid w:val="05B87B12"/>
    <w:rsid w:val="05BB0E27"/>
    <w:rsid w:val="05D00163"/>
    <w:rsid w:val="05D70DB9"/>
    <w:rsid w:val="0641664A"/>
    <w:rsid w:val="06460246"/>
    <w:rsid w:val="068816E8"/>
    <w:rsid w:val="06A236FF"/>
    <w:rsid w:val="06B7358F"/>
    <w:rsid w:val="06F539DE"/>
    <w:rsid w:val="070111DD"/>
    <w:rsid w:val="07347967"/>
    <w:rsid w:val="074320E7"/>
    <w:rsid w:val="074C7D90"/>
    <w:rsid w:val="0770520B"/>
    <w:rsid w:val="077C34B8"/>
    <w:rsid w:val="07A209C4"/>
    <w:rsid w:val="07EA5E2D"/>
    <w:rsid w:val="07EC261C"/>
    <w:rsid w:val="07EF0711"/>
    <w:rsid w:val="080D26DA"/>
    <w:rsid w:val="081C7E5D"/>
    <w:rsid w:val="08283642"/>
    <w:rsid w:val="08284245"/>
    <w:rsid w:val="08391181"/>
    <w:rsid w:val="086F1260"/>
    <w:rsid w:val="0876459B"/>
    <w:rsid w:val="0880226D"/>
    <w:rsid w:val="08895A36"/>
    <w:rsid w:val="088B4D97"/>
    <w:rsid w:val="089F2BDE"/>
    <w:rsid w:val="08A306EF"/>
    <w:rsid w:val="08A86F17"/>
    <w:rsid w:val="08B6611C"/>
    <w:rsid w:val="08BB2505"/>
    <w:rsid w:val="08D63611"/>
    <w:rsid w:val="08EC6994"/>
    <w:rsid w:val="090D6531"/>
    <w:rsid w:val="0963581B"/>
    <w:rsid w:val="099A07E1"/>
    <w:rsid w:val="09A0699C"/>
    <w:rsid w:val="09C40CDA"/>
    <w:rsid w:val="0A2D58D3"/>
    <w:rsid w:val="0A4E47C8"/>
    <w:rsid w:val="0A6F3D19"/>
    <w:rsid w:val="0A887FBA"/>
    <w:rsid w:val="0A9578EA"/>
    <w:rsid w:val="0A9855FA"/>
    <w:rsid w:val="0A9B4FED"/>
    <w:rsid w:val="0AB811A5"/>
    <w:rsid w:val="0AEC7127"/>
    <w:rsid w:val="0B063FF5"/>
    <w:rsid w:val="0B0C0A79"/>
    <w:rsid w:val="0B343C32"/>
    <w:rsid w:val="0B451F6A"/>
    <w:rsid w:val="0B636CD4"/>
    <w:rsid w:val="0B705BE3"/>
    <w:rsid w:val="0B7E1688"/>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29263B"/>
    <w:rsid w:val="0D3B1DFE"/>
    <w:rsid w:val="0D9B57CA"/>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F136F00"/>
    <w:rsid w:val="0F173921"/>
    <w:rsid w:val="0F3235D9"/>
    <w:rsid w:val="0F543E57"/>
    <w:rsid w:val="0F621F40"/>
    <w:rsid w:val="0F8C6CB2"/>
    <w:rsid w:val="0FDC1CDC"/>
    <w:rsid w:val="10223C48"/>
    <w:rsid w:val="1030496E"/>
    <w:rsid w:val="104826E0"/>
    <w:rsid w:val="1058205D"/>
    <w:rsid w:val="1081066D"/>
    <w:rsid w:val="1094767D"/>
    <w:rsid w:val="109617B2"/>
    <w:rsid w:val="109A050C"/>
    <w:rsid w:val="109B4883"/>
    <w:rsid w:val="10CA6A02"/>
    <w:rsid w:val="11117E67"/>
    <w:rsid w:val="11182730"/>
    <w:rsid w:val="11293521"/>
    <w:rsid w:val="11375345"/>
    <w:rsid w:val="114619CE"/>
    <w:rsid w:val="11465FF5"/>
    <w:rsid w:val="115654E3"/>
    <w:rsid w:val="11595062"/>
    <w:rsid w:val="11D21F02"/>
    <w:rsid w:val="120C5D21"/>
    <w:rsid w:val="123649A8"/>
    <w:rsid w:val="12385DAA"/>
    <w:rsid w:val="12410B8B"/>
    <w:rsid w:val="12475EA9"/>
    <w:rsid w:val="133360BD"/>
    <w:rsid w:val="137A1844"/>
    <w:rsid w:val="13C85D56"/>
    <w:rsid w:val="14040081"/>
    <w:rsid w:val="140B464A"/>
    <w:rsid w:val="142D218A"/>
    <w:rsid w:val="145C6FD0"/>
    <w:rsid w:val="146E4633"/>
    <w:rsid w:val="146E56C1"/>
    <w:rsid w:val="14A2580E"/>
    <w:rsid w:val="14AD2BFE"/>
    <w:rsid w:val="14B03C61"/>
    <w:rsid w:val="14D94F9A"/>
    <w:rsid w:val="14F40ECC"/>
    <w:rsid w:val="150412EA"/>
    <w:rsid w:val="150A451A"/>
    <w:rsid w:val="15127131"/>
    <w:rsid w:val="15315FCD"/>
    <w:rsid w:val="154C31C1"/>
    <w:rsid w:val="15632594"/>
    <w:rsid w:val="15C2719D"/>
    <w:rsid w:val="15F70FAA"/>
    <w:rsid w:val="160E4D4D"/>
    <w:rsid w:val="16260FD9"/>
    <w:rsid w:val="16355694"/>
    <w:rsid w:val="16432BC3"/>
    <w:rsid w:val="164475C7"/>
    <w:rsid w:val="1650078C"/>
    <w:rsid w:val="16626A27"/>
    <w:rsid w:val="16684ADD"/>
    <w:rsid w:val="167A2455"/>
    <w:rsid w:val="169F48DF"/>
    <w:rsid w:val="16C2206D"/>
    <w:rsid w:val="16E07F9A"/>
    <w:rsid w:val="17003878"/>
    <w:rsid w:val="171438BA"/>
    <w:rsid w:val="17230955"/>
    <w:rsid w:val="175076BE"/>
    <w:rsid w:val="17AA0F9F"/>
    <w:rsid w:val="17B714AB"/>
    <w:rsid w:val="182770BA"/>
    <w:rsid w:val="18307103"/>
    <w:rsid w:val="18331625"/>
    <w:rsid w:val="183445FE"/>
    <w:rsid w:val="183F42E8"/>
    <w:rsid w:val="186E6A90"/>
    <w:rsid w:val="18863017"/>
    <w:rsid w:val="18932829"/>
    <w:rsid w:val="189A0DA0"/>
    <w:rsid w:val="18AA6B85"/>
    <w:rsid w:val="18AC6D73"/>
    <w:rsid w:val="18B350A3"/>
    <w:rsid w:val="18C36A99"/>
    <w:rsid w:val="18F605BB"/>
    <w:rsid w:val="19267D5B"/>
    <w:rsid w:val="19431DA3"/>
    <w:rsid w:val="19C162BB"/>
    <w:rsid w:val="19C8432D"/>
    <w:rsid w:val="19D03415"/>
    <w:rsid w:val="1A114A2E"/>
    <w:rsid w:val="1A40729A"/>
    <w:rsid w:val="1A462F08"/>
    <w:rsid w:val="1A740AEE"/>
    <w:rsid w:val="1AC029B2"/>
    <w:rsid w:val="1AD2126E"/>
    <w:rsid w:val="1AD749B1"/>
    <w:rsid w:val="1B4716B4"/>
    <w:rsid w:val="1B7815CA"/>
    <w:rsid w:val="1B9F64DE"/>
    <w:rsid w:val="1BB400F5"/>
    <w:rsid w:val="1BB56A48"/>
    <w:rsid w:val="1BC0349E"/>
    <w:rsid w:val="1C08419D"/>
    <w:rsid w:val="1C7137C5"/>
    <w:rsid w:val="1CA00BF7"/>
    <w:rsid w:val="1D102DA4"/>
    <w:rsid w:val="1D4D5FFD"/>
    <w:rsid w:val="1D60322D"/>
    <w:rsid w:val="1D7B5E2C"/>
    <w:rsid w:val="1D983953"/>
    <w:rsid w:val="1D9D6494"/>
    <w:rsid w:val="1DD9387C"/>
    <w:rsid w:val="1DDD4935"/>
    <w:rsid w:val="1DE05978"/>
    <w:rsid w:val="1E130059"/>
    <w:rsid w:val="1E1C4541"/>
    <w:rsid w:val="1E1D08F9"/>
    <w:rsid w:val="1E2D7E56"/>
    <w:rsid w:val="1E530F7B"/>
    <w:rsid w:val="1E895861"/>
    <w:rsid w:val="1EB558D4"/>
    <w:rsid w:val="1EC10142"/>
    <w:rsid w:val="1ECA1C9D"/>
    <w:rsid w:val="1EDF3E9F"/>
    <w:rsid w:val="1F003FF4"/>
    <w:rsid w:val="1F0A75FE"/>
    <w:rsid w:val="1F0E097D"/>
    <w:rsid w:val="1F243709"/>
    <w:rsid w:val="1F3406BD"/>
    <w:rsid w:val="1F7A0970"/>
    <w:rsid w:val="1F7C0C0C"/>
    <w:rsid w:val="1F896D7E"/>
    <w:rsid w:val="1F991A14"/>
    <w:rsid w:val="202975DD"/>
    <w:rsid w:val="203D3B8E"/>
    <w:rsid w:val="207761C8"/>
    <w:rsid w:val="209E2C67"/>
    <w:rsid w:val="20EA5EBD"/>
    <w:rsid w:val="215D3AC5"/>
    <w:rsid w:val="216F32CA"/>
    <w:rsid w:val="217B20CF"/>
    <w:rsid w:val="21CB6FBF"/>
    <w:rsid w:val="21DE7908"/>
    <w:rsid w:val="21E76179"/>
    <w:rsid w:val="220845A6"/>
    <w:rsid w:val="220F0311"/>
    <w:rsid w:val="22124112"/>
    <w:rsid w:val="221638BC"/>
    <w:rsid w:val="221D4E54"/>
    <w:rsid w:val="223F43C3"/>
    <w:rsid w:val="22461C32"/>
    <w:rsid w:val="225766ED"/>
    <w:rsid w:val="227109EA"/>
    <w:rsid w:val="227B3018"/>
    <w:rsid w:val="228A22DE"/>
    <w:rsid w:val="228A350B"/>
    <w:rsid w:val="228C637A"/>
    <w:rsid w:val="22B07711"/>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2F3D6C"/>
    <w:rsid w:val="24461C6B"/>
    <w:rsid w:val="24531CE3"/>
    <w:rsid w:val="245A3D5B"/>
    <w:rsid w:val="245E0A8A"/>
    <w:rsid w:val="249454A5"/>
    <w:rsid w:val="24964EF8"/>
    <w:rsid w:val="249A7996"/>
    <w:rsid w:val="24BE28A6"/>
    <w:rsid w:val="24E22663"/>
    <w:rsid w:val="24E23C99"/>
    <w:rsid w:val="24F062D2"/>
    <w:rsid w:val="2529444A"/>
    <w:rsid w:val="253B3777"/>
    <w:rsid w:val="253E3770"/>
    <w:rsid w:val="256A6608"/>
    <w:rsid w:val="256C3FE9"/>
    <w:rsid w:val="256F4081"/>
    <w:rsid w:val="259174A4"/>
    <w:rsid w:val="25A17AC4"/>
    <w:rsid w:val="25A71EE0"/>
    <w:rsid w:val="25D60E9E"/>
    <w:rsid w:val="260343EC"/>
    <w:rsid w:val="26160809"/>
    <w:rsid w:val="261A371B"/>
    <w:rsid w:val="26482E8A"/>
    <w:rsid w:val="265005E2"/>
    <w:rsid w:val="267E2359"/>
    <w:rsid w:val="26BC7CBC"/>
    <w:rsid w:val="26CA55C3"/>
    <w:rsid w:val="26F64CE5"/>
    <w:rsid w:val="271327C9"/>
    <w:rsid w:val="27447ED5"/>
    <w:rsid w:val="275F3A77"/>
    <w:rsid w:val="27744012"/>
    <w:rsid w:val="2777004F"/>
    <w:rsid w:val="27BB0A82"/>
    <w:rsid w:val="27C86687"/>
    <w:rsid w:val="27D2107F"/>
    <w:rsid w:val="27D67007"/>
    <w:rsid w:val="27FE6849"/>
    <w:rsid w:val="284F0253"/>
    <w:rsid w:val="28644870"/>
    <w:rsid w:val="288A4353"/>
    <w:rsid w:val="28A53BF2"/>
    <w:rsid w:val="28AC7791"/>
    <w:rsid w:val="28F6607A"/>
    <w:rsid w:val="293E1F8D"/>
    <w:rsid w:val="29442E9B"/>
    <w:rsid w:val="29674CC8"/>
    <w:rsid w:val="297A6E50"/>
    <w:rsid w:val="297F2E73"/>
    <w:rsid w:val="2A113167"/>
    <w:rsid w:val="2A1F6016"/>
    <w:rsid w:val="2A2B6113"/>
    <w:rsid w:val="2A4F1B3F"/>
    <w:rsid w:val="2A555ED0"/>
    <w:rsid w:val="2A5D2CA5"/>
    <w:rsid w:val="2A75051E"/>
    <w:rsid w:val="2AAB33FF"/>
    <w:rsid w:val="2AB8143E"/>
    <w:rsid w:val="2AE949DF"/>
    <w:rsid w:val="2AF12441"/>
    <w:rsid w:val="2AF764E5"/>
    <w:rsid w:val="2B1C1A3A"/>
    <w:rsid w:val="2B250539"/>
    <w:rsid w:val="2B3B474B"/>
    <w:rsid w:val="2B3E72B6"/>
    <w:rsid w:val="2B4E27CA"/>
    <w:rsid w:val="2B8D044E"/>
    <w:rsid w:val="2BC27B4B"/>
    <w:rsid w:val="2C016BB8"/>
    <w:rsid w:val="2C2F27D7"/>
    <w:rsid w:val="2C79418D"/>
    <w:rsid w:val="2C9B70E1"/>
    <w:rsid w:val="2CE4166F"/>
    <w:rsid w:val="2D0E6CE1"/>
    <w:rsid w:val="2D26240A"/>
    <w:rsid w:val="2D2F2667"/>
    <w:rsid w:val="2D307F4F"/>
    <w:rsid w:val="2D407E72"/>
    <w:rsid w:val="2D591F74"/>
    <w:rsid w:val="2D625044"/>
    <w:rsid w:val="2D77461B"/>
    <w:rsid w:val="2D9F7BBA"/>
    <w:rsid w:val="2DD625D6"/>
    <w:rsid w:val="2DDD6BFF"/>
    <w:rsid w:val="2E053518"/>
    <w:rsid w:val="2E227E46"/>
    <w:rsid w:val="2E400C5F"/>
    <w:rsid w:val="2E440F97"/>
    <w:rsid w:val="2E5209E3"/>
    <w:rsid w:val="2E5A17DE"/>
    <w:rsid w:val="2E8564A5"/>
    <w:rsid w:val="2E8A4911"/>
    <w:rsid w:val="2E9670C4"/>
    <w:rsid w:val="2EB01AFE"/>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D1119A"/>
    <w:rsid w:val="30D31826"/>
    <w:rsid w:val="30D43148"/>
    <w:rsid w:val="30F12F4C"/>
    <w:rsid w:val="31024B58"/>
    <w:rsid w:val="3112402E"/>
    <w:rsid w:val="313D3E38"/>
    <w:rsid w:val="31760F72"/>
    <w:rsid w:val="31A535A1"/>
    <w:rsid w:val="31F92C45"/>
    <w:rsid w:val="321F4FEF"/>
    <w:rsid w:val="322634C5"/>
    <w:rsid w:val="32384358"/>
    <w:rsid w:val="32611BF0"/>
    <w:rsid w:val="3268420D"/>
    <w:rsid w:val="32706B60"/>
    <w:rsid w:val="32791431"/>
    <w:rsid w:val="327C6E3D"/>
    <w:rsid w:val="329C5193"/>
    <w:rsid w:val="32ED5524"/>
    <w:rsid w:val="33170AEB"/>
    <w:rsid w:val="333F39DC"/>
    <w:rsid w:val="33450D24"/>
    <w:rsid w:val="33565979"/>
    <w:rsid w:val="33A83294"/>
    <w:rsid w:val="33B02C55"/>
    <w:rsid w:val="33B77DB8"/>
    <w:rsid w:val="33FD6174"/>
    <w:rsid w:val="34011E26"/>
    <w:rsid w:val="340439CF"/>
    <w:rsid w:val="341B4D23"/>
    <w:rsid w:val="345C3B03"/>
    <w:rsid w:val="349870EC"/>
    <w:rsid w:val="34A34D3C"/>
    <w:rsid w:val="34AE6BFF"/>
    <w:rsid w:val="34BF4271"/>
    <w:rsid w:val="34D545BA"/>
    <w:rsid w:val="35351763"/>
    <w:rsid w:val="3537507A"/>
    <w:rsid w:val="35750B6C"/>
    <w:rsid w:val="358C742B"/>
    <w:rsid w:val="3594691D"/>
    <w:rsid w:val="359C5EEF"/>
    <w:rsid w:val="35B50693"/>
    <w:rsid w:val="35E30B2B"/>
    <w:rsid w:val="364E252C"/>
    <w:rsid w:val="3663111C"/>
    <w:rsid w:val="36634890"/>
    <w:rsid w:val="3676725F"/>
    <w:rsid w:val="36835891"/>
    <w:rsid w:val="369F5FC3"/>
    <w:rsid w:val="36A81FB2"/>
    <w:rsid w:val="36B1372E"/>
    <w:rsid w:val="36B164AC"/>
    <w:rsid w:val="36B7581C"/>
    <w:rsid w:val="37160ED8"/>
    <w:rsid w:val="3722158D"/>
    <w:rsid w:val="375E09FC"/>
    <w:rsid w:val="376A21C2"/>
    <w:rsid w:val="377A0F99"/>
    <w:rsid w:val="37800B40"/>
    <w:rsid w:val="37A133A3"/>
    <w:rsid w:val="37FD6FF9"/>
    <w:rsid w:val="38034F46"/>
    <w:rsid w:val="3805002B"/>
    <w:rsid w:val="381C5B9B"/>
    <w:rsid w:val="38361BA4"/>
    <w:rsid w:val="38525FA9"/>
    <w:rsid w:val="38526E75"/>
    <w:rsid w:val="386B258D"/>
    <w:rsid w:val="388A293F"/>
    <w:rsid w:val="38A56B01"/>
    <w:rsid w:val="38AA5685"/>
    <w:rsid w:val="38B47FF9"/>
    <w:rsid w:val="38CA1DB0"/>
    <w:rsid w:val="38F2664F"/>
    <w:rsid w:val="38FA64C1"/>
    <w:rsid w:val="39003F1D"/>
    <w:rsid w:val="39094EB1"/>
    <w:rsid w:val="390C65EA"/>
    <w:rsid w:val="391D4DEF"/>
    <w:rsid w:val="39276876"/>
    <w:rsid w:val="392B2930"/>
    <w:rsid w:val="39553FED"/>
    <w:rsid w:val="39A6320B"/>
    <w:rsid w:val="39D50319"/>
    <w:rsid w:val="39E14E84"/>
    <w:rsid w:val="3A266A6B"/>
    <w:rsid w:val="3A362ECC"/>
    <w:rsid w:val="3A451DB4"/>
    <w:rsid w:val="3AA26281"/>
    <w:rsid w:val="3AA92EDF"/>
    <w:rsid w:val="3AC853CC"/>
    <w:rsid w:val="3AEE50E4"/>
    <w:rsid w:val="3B010F46"/>
    <w:rsid w:val="3B0517D8"/>
    <w:rsid w:val="3B0B040C"/>
    <w:rsid w:val="3B3E055C"/>
    <w:rsid w:val="3B4804F7"/>
    <w:rsid w:val="3B765960"/>
    <w:rsid w:val="3B9B6524"/>
    <w:rsid w:val="3BA0033D"/>
    <w:rsid w:val="3BA528F6"/>
    <w:rsid w:val="3BED1DD7"/>
    <w:rsid w:val="3C0D3146"/>
    <w:rsid w:val="3C3F2D65"/>
    <w:rsid w:val="3C582CD8"/>
    <w:rsid w:val="3C5F4C5A"/>
    <w:rsid w:val="3C650EFE"/>
    <w:rsid w:val="3C755A40"/>
    <w:rsid w:val="3C7C43FF"/>
    <w:rsid w:val="3CC405B3"/>
    <w:rsid w:val="3D3B4812"/>
    <w:rsid w:val="3D8A537D"/>
    <w:rsid w:val="3D8F5840"/>
    <w:rsid w:val="3DA70A4C"/>
    <w:rsid w:val="3DA82B7F"/>
    <w:rsid w:val="3DAF1BD5"/>
    <w:rsid w:val="3DB24665"/>
    <w:rsid w:val="3E094E14"/>
    <w:rsid w:val="3E2546CD"/>
    <w:rsid w:val="3E4D5759"/>
    <w:rsid w:val="3E661272"/>
    <w:rsid w:val="3E691DE9"/>
    <w:rsid w:val="3E8A049E"/>
    <w:rsid w:val="3E8A5F09"/>
    <w:rsid w:val="3EA07079"/>
    <w:rsid w:val="3EBC660E"/>
    <w:rsid w:val="3EC96912"/>
    <w:rsid w:val="3ECF2534"/>
    <w:rsid w:val="3ED9416D"/>
    <w:rsid w:val="3F577100"/>
    <w:rsid w:val="3F6941E1"/>
    <w:rsid w:val="3F7A6A72"/>
    <w:rsid w:val="3F954FA0"/>
    <w:rsid w:val="3F9B1F35"/>
    <w:rsid w:val="3FA85836"/>
    <w:rsid w:val="3FC610B5"/>
    <w:rsid w:val="400374F9"/>
    <w:rsid w:val="4019244E"/>
    <w:rsid w:val="40511376"/>
    <w:rsid w:val="40531C58"/>
    <w:rsid w:val="40C12F37"/>
    <w:rsid w:val="40C91A64"/>
    <w:rsid w:val="40CD0D6A"/>
    <w:rsid w:val="40CD7210"/>
    <w:rsid w:val="40DE2987"/>
    <w:rsid w:val="40E21F81"/>
    <w:rsid w:val="40FF0F16"/>
    <w:rsid w:val="410D47C6"/>
    <w:rsid w:val="41192D98"/>
    <w:rsid w:val="413E5CD9"/>
    <w:rsid w:val="414337A7"/>
    <w:rsid w:val="415E5E0D"/>
    <w:rsid w:val="41955C5F"/>
    <w:rsid w:val="41BB6EC9"/>
    <w:rsid w:val="41EE64C3"/>
    <w:rsid w:val="4238196C"/>
    <w:rsid w:val="424B591E"/>
    <w:rsid w:val="4271634D"/>
    <w:rsid w:val="429E0DD2"/>
    <w:rsid w:val="42B0288A"/>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D020CE"/>
    <w:rsid w:val="44F057A6"/>
    <w:rsid w:val="4521617F"/>
    <w:rsid w:val="4547596A"/>
    <w:rsid w:val="455C7DF1"/>
    <w:rsid w:val="45865A79"/>
    <w:rsid w:val="458F395F"/>
    <w:rsid w:val="459E32E0"/>
    <w:rsid w:val="45A95346"/>
    <w:rsid w:val="45EE06D5"/>
    <w:rsid w:val="46203128"/>
    <w:rsid w:val="462C60A0"/>
    <w:rsid w:val="46416F41"/>
    <w:rsid w:val="46487A7F"/>
    <w:rsid w:val="465E0432"/>
    <w:rsid w:val="466A6433"/>
    <w:rsid w:val="469A5597"/>
    <w:rsid w:val="46A10793"/>
    <w:rsid w:val="46A316B8"/>
    <w:rsid w:val="46A41952"/>
    <w:rsid w:val="46C4203A"/>
    <w:rsid w:val="46DA18B7"/>
    <w:rsid w:val="470E29AE"/>
    <w:rsid w:val="474249F4"/>
    <w:rsid w:val="474B43A7"/>
    <w:rsid w:val="474F5F65"/>
    <w:rsid w:val="47765844"/>
    <w:rsid w:val="47985035"/>
    <w:rsid w:val="47CD163B"/>
    <w:rsid w:val="47DC5E24"/>
    <w:rsid w:val="482E365F"/>
    <w:rsid w:val="484B0A4B"/>
    <w:rsid w:val="485729EF"/>
    <w:rsid w:val="48577262"/>
    <w:rsid w:val="48580B27"/>
    <w:rsid w:val="48BF4F17"/>
    <w:rsid w:val="48C126D6"/>
    <w:rsid w:val="48EF6959"/>
    <w:rsid w:val="48F54240"/>
    <w:rsid w:val="49121D70"/>
    <w:rsid w:val="49290AF3"/>
    <w:rsid w:val="493F4EEB"/>
    <w:rsid w:val="497D7A76"/>
    <w:rsid w:val="49B063EE"/>
    <w:rsid w:val="49C75DBC"/>
    <w:rsid w:val="49CB0CCD"/>
    <w:rsid w:val="4A007AA5"/>
    <w:rsid w:val="4A323DB6"/>
    <w:rsid w:val="4A473AAB"/>
    <w:rsid w:val="4A803A90"/>
    <w:rsid w:val="4AA610D6"/>
    <w:rsid w:val="4AE939A1"/>
    <w:rsid w:val="4B0C055A"/>
    <w:rsid w:val="4B186EA3"/>
    <w:rsid w:val="4B2D5C22"/>
    <w:rsid w:val="4B696347"/>
    <w:rsid w:val="4BCC712C"/>
    <w:rsid w:val="4BE04095"/>
    <w:rsid w:val="4C175F49"/>
    <w:rsid w:val="4C1939EB"/>
    <w:rsid w:val="4C3E35AF"/>
    <w:rsid w:val="4C8B4A7C"/>
    <w:rsid w:val="4C9A568F"/>
    <w:rsid w:val="4CC753A6"/>
    <w:rsid w:val="4CCD1B48"/>
    <w:rsid w:val="4CD2174C"/>
    <w:rsid w:val="4CF25610"/>
    <w:rsid w:val="4CFC368B"/>
    <w:rsid w:val="4D1F0B6E"/>
    <w:rsid w:val="4D431806"/>
    <w:rsid w:val="4D742CA5"/>
    <w:rsid w:val="4DD741C8"/>
    <w:rsid w:val="4E0A76AA"/>
    <w:rsid w:val="4E10100E"/>
    <w:rsid w:val="4E663032"/>
    <w:rsid w:val="4E754922"/>
    <w:rsid w:val="4E7D412D"/>
    <w:rsid w:val="4E8833F7"/>
    <w:rsid w:val="4E9F43CC"/>
    <w:rsid w:val="4EAC25AD"/>
    <w:rsid w:val="4ECC1B7A"/>
    <w:rsid w:val="4EDE3F7B"/>
    <w:rsid w:val="4EE95EB3"/>
    <w:rsid w:val="4EEB2FB4"/>
    <w:rsid w:val="4EEF3BBD"/>
    <w:rsid w:val="4EF31987"/>
    <w:rsid w:val="4F01535F"/>
    <w:rsid w:val="4F086AAF"/>
    <w:rsid w:val="4F3F6266"/>
    <w:rsid w:val="4F441003"/>
    <w:rsid w:val="4F712179"/>
    <w:rsid w:val="4F8B1E5E"/>
    <w:rsid w:val="4FAE0E1F"/>
    <w:rsid w:val="4FF029D9"/>
    <w:rsid w:val="50266D9D"/>
    <w:rsid w:val="5057079F"/>
    <w:rsid w:val="5069668A"/>
    <w:rsid w:val="50740D82"/>
    <w:rsid w:val="50A83CB2"/>
    <w:rsid w:val="50AF5D81"/>
    <w:rsid w:val="50FB34D4"/>
    <w:rsid w:val="511E2E4C"/>
    <w:rsid w:val="512B42F2"/>
    <w:rsid w:val="51472A97"/>
    <w:rsid w:val="516F441B"/>
    <w:rsid w:val="516F49FF"/>
    <w:rsid w:val="51792A48"/>
    <w:rsid w:val="51A70ECF"/>
    <w:rsid w:val="51B45F41"/>
    <w:rsid w:val="51F3006B"/>
    <w:rsid w:val="521A0E83"/>
    <w:rsid w:val="525B595C"/>
    <w:rsid w:val="5294110C"/>
    <w:rsid w:val="529751F1"/>
    <w:rsid w:val="52B8375C"/>
    <w:rsid w:val="52C8015A"/>
    <w:rsid w:val="52D55496"/>
    <w:rsid w:val="53036181"/>
    <w:rsid w:val="532823C8"/>
    <w:rsid w:val="53383CDD"/>
    <w:rsid w:val="535933A0"/>
    <w:rsid w:val="5366514C"/>
    <w:rsid w:val="5384550C"/>
    <w:rsid w:val="538762B6"/>
    <w:rsid w:val="538E5DEC"/>
    <w:rsid w:val="53B8303B"/>
    <w:rsid w:val="53D45D64"/>
    <w:rsid w:val="53E5392D"/>
    <w:rsid w:val="5438579A"/>
    <w:rsid w:val="54491649"/>
    <w:rsid w:val="54554E92"/>
    <w:rsid w:val="547A556A"/>
    <w:rsid w:val="54AB227B"/>
    <w:rsid w:val="54B93049"/>
    <w:rsid w:val="54CE0F0D"/>
    <w:rsid w:val="551526ED"/>
    <w:rsid w:val="55225A47"/>
    <w:rsid w:val="554875B0"/>
    <w:rsid w:val="55720BED"/>
    <w:rsid w:val="557C50B8"/>
    <w:rsid w:val="55AE2147"/>
    <w:rsid w:val="55AE2352"/>
    <w:rsid w:val="56171A01"/>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F6B08"/>
    <w:rsid w:val="57CD7E64"/>
    <w:rsid w:val="57D25B71"/>
    <w:rsid w:val="57DF3A61"/>
    <w:rsid w:val="58317605"/>
    <w:rsid w:val="587D5F2C"/>
    <w:rsid w:val="587F450B"/>
    <w:rsid w:val="58963DA7"/>
    <w:rsid w:val="58A560FE"/>
    <w:rsid w:val="58A626A8"/>
    <w:rsid w:val="58DB5CD6"/>
    <w:rsid w:val="59150148"/>
    <w:rsid w:val="592C3305"/>
    <w:rsid w:val="593E4120"/>
    <w:rsid w:val="59483FC9"/>
    <w:rsid w:val="5965039F"/>
    <w:rsid w:val="597B2D6E"/>
    <w:rsid w:val="59952B83"/>
    <w:rsid w:val="59B3789C"/>
    <w:rsid w:val="5A2C7551"/>
    <w:rsid w:val="5A2F159C"/>
    <w:rsid w:val="5A400720"/>
    <w:rsid w:val="5A447434"/>
    <w:rsid w:val="5A780F5E"/>
    <w:rsid w:val="5A9D12B3"/>
    <w:rsid w:val="5AB9364D"/>
    <w:rsid w:val="5B0303FE"/>
    <w:rsid w:val="5B505934"/>
    <w:rsid w:val="5BB02387"/>
    <w:rsid w:val="5BB52F7D"/>
    <w:rsid w:val="5BBE79C0"/>
    <w:rsid w:val="5BE0261C"/>
    <w:rsid w:val="5BF24800"/>
    <w:rsid w:val="5C08655C"/>
    <w:rsid w:val="5C357B5F"/>
    <w:rsid w:val="5C4521B0"/>
    <w:rsid w:val="5C473309"/>
    <w:rsid w:val="5C4926FF"/>
    <w:rsid w:val="5C9307FB"/>
    <w:rsid w:val="5C9F44C2"/>
    <w:rsid w:val="5CB93195"/>
    <w:rsid w:val="5CC41D80"/>
    <w:rsid w:val="5CCF3B1A"/>
    <w:rsid w:val="5CD4601F"/>
    <w:rsid w:val="5CDD69F5"/>
    <w:rsid w:val="5CF22878"/>
    <w:rsid w:val="5CF4139A"/>
    <w:rsid w:val="5CF81A09"/>
    <w:rsid w:val="5D006C95"/>
    <w:rsid w:val="5D24117B"/>
    <w:rsid w:val="5D3E33D2"/>
    <w:rsid w:val="5D693C9C"/>
    <w:rsid w:val="5DE973D6"/>
    <w:rsid w:val="5E484E95"/>
    <w:rsid w:val="5E546A76"/>
    <w:rsid w:val="5E5A23F4"/>
    <w:rsid w:val="5E742333"/>
    <w:rsid w:val="5E8D2D21"/>
    <w:rsid w:val="5E9F118A"/>
    <w:rsid w:val="5EBD1212"/>
    <w:rsid w:val="5ED36964"/>
    <w:rsid w:val="5ED60EED"/>
    <w:rsid w:val="5EFE0496"/>
    <w:rsid w:val="5F0A527B"/>
    <w:rsid w:val="5F255BC5"/>
    <w:rsid w:val="5F3529FD"/>
    <w:rsid w:val="5F3F339D"/>
    <w:rsid w:val="5F51476F"/>
    <w:rsid w:val="5F572A2B"/>
    <w:rsid w:val="5F656444"/>
    <w:rsid w:val="5FE20A14"/>
    <w:rsid w:val="5FF51B98"/>
    <w:rsid w:val="60055342"/>
    <w:rsid w:val="6017749F"/>
    <w:rsid w:val="60237BF2"/>
    <w:rsid w:val="60545CED"/>
    <w:rsid w:val="6056362E"/>
    <w:rsid w:val="60736778"/>
    <w:rsid w:val="60846283"/>
    <w:rsid w:val="608A3BA9"/>
    <w:rsid w:val="60BC3FEF"/>
    <w:rsid w:val="60D715E6"/>
    <w:rsid w:val="60E50A8F"/>
    <w:rsid w:val="60EC120B"/>
    <w:rsid w:val="60EE598F"/>
    <w:rsid w:val="612C0778"/>
    <w:rsid w:val="615208C7"/>
    <w:rsid w:val="61537EE4"/>
    <w:rsid w:val="616B54C8"/>
    <w:rsid w:val="61702C98"/>
    <w:rsid w:val="61963A72"/>
    <w:rsid w:val="61BA4586"/>
    <w:rsid w:val="61D11AE4"/>
    <w:rsid w:val="61E237F8"/>
    <w:rsid w:val="62020579"/>
    <w:rsid w:val="621C0B76"/>
    <w:rsid w:val="623F329A"/>
    <w:rsid w:val="624C1628"/>
    <w:rsid w:val="626601FE"/>
    <w:rsid w:val="62695E27"/>
    <w:rsid w:val="626E166E"/>
    <w:rsid w:val="627C1C65"/>
    <w:rsid w:val="628242DE"/>
    <w:rsid w:val="62901C12"/>
    <w:rsid w:val="62D37EDE"/>
    <w:rsid w:val="62DC4FFE"/>
    <w:rsid w:val="62F32006"/>
    <w:rsid w:val="635244EA"/>
    <w:rsid w:val="635252D3"/>
    <w:rsid w:val="636127C3"/>
    <w:rsid w:val="63D736B7"/>
    <w:rsid w:val="63F5222D"/>
    <w:rsid w:val="64684FF6"/>
    <w:rsid w:val="646D7F47"/>
    <w:rsid w:val="64E3778E"/>
    <w:rsid w:val="64F87681"/>
    <w:rsid w:val="65016282"/>
    <w:rsid w:val="652E4984"/>
    <w:rsid w:val="6541100E"/>
    <w:rsid w:val="654C0BA8"/>
    <w:rsid w:val="65723276"/>
    <w:rsid w:val="65894ACB"/>
    <w:rsid w:val="65B601CD"/>
    <w:rsid w:val="65C57730"/>
    <w:rsid w:val="65D03A9D"/>
    <w:rsid w:val="66113182"/>
    <w:rsid w:val="664352EB"/>
    <w:rsid w:val="666D4FDC"/>
    <w:rsid w:val="66731291"/>
    <w:rsid w:val="667A0273"/>
    <w:rsid w:val="66903901"/>
    <w:rsid w:val="66C344E7"/>
    <w:rsid w:val="66F07010"/>
    <w:rsid w:val="66F7316A"/>
    <w:rsid w:val="66FC73C9"/>
    <w:rsid w:val="672079BD"/>
    <w:rsid w:val="67253AE9"/>
    <w:rsid w:val="674421AD"/>
    <w:rsid w:val="67E02C36"/>
    <w:rsid w:val="67E85D1C"/>
    <w:rsid w:val="68235D74"/>
    <w:rsid w:val="683E7EE4"/>
    <w:rsid w:val="68517653"/>
    <w:rsid w:val="68B712D5"/>
    <w:rsid w:val="68C65C0A"/>
    <w:rsid w:val="68E12ED2"/>
    <w:rsid w:val="68FD4084"/>
    <w:rsid w:val="69321393"/>
    <w:rsid w:val="693A4C13"/>
    <w:rsid w:val="696610E4"/>
    <w:rsid w:val="69A60F1E"/>
    <w:rsid w:val="69B2588C"/>
    <w:rsid w:val="69DC5F48"/>
    <w:rsid w:val="6A483248"/>
    <w:rsid w:val="6A6D75CE"/>
    <w:rsid w:val="6A83721D"/>
    <w:rsid w:val="6AA2282C"/>
    <w:rsid w:val="6AAA5C1D"/>
    <w:rsid w:val="6AB03EB2"/>
    <w:rsid w:val="6AD20623"/>
    <w:rsid w:val="6AE21101"/>
    <w:rsid w:val="6B4340D5"/>
    <w:rsid w:val="6B4F3B9E"/>
    <w:rsid w:val="6B893A4B"/>
    <w:rsid w:val="6BC12704"/>
    <w:rsid w:val="6BD63153"/>
    <w:rsid w:val="6BE960BC"/>
    <w:rsid w:val="6BEA3CBA"/>
    <w:rsid w:val="6C0F488B"/>
    <w:rsid w:val="6C5B55DC"/>
    <w:rsid w:val="6C5D6BCE"/>
    <w:rsid w:val="6C845EBC"/>
    <w:rsid w:val="6CAE03DD"/>
    <w:rsid w:val="6CE262A4"/>
    <w:rsid w:val="6CE56E6B"/>
    <w:rsid w:val="6CE6359C"/>
    <w:rsid w:val="6D032DAA"/>
    <w:rsid w:val="6D1A704D"/>
    <w:rsid w:val="6D1E66A9"/>
    <w:rsid w:val="6D506D1C"/>
    <w:rsid w:val="6D61192D"/>
    <w:rsid w:val="6D675F3C"/>
    <w:rsid w:val="6D6C1DD5"/>
    <w:rsid w:val="6D7446CC"/>
    <w:rsid w:val="6D7521FE"/>
    <w:rsid w:val="6D88011E"/>
    <w:rsid w:val="6D8A298C"/>
    <w:rsid w:val="6D965EA7"/>
    <w:rsid w:val="6DB35DAA"/>
    <w:rsid w:val="6DED206F"/>
    <w:rsid w:val="6DED3862"/>
    <w:rsid w:val="6E005A26"/>
    <w:rsid w:val="6E327B63"/>
    <w:rsid w:val="6E6329C5"/>
    <w:rsid w:val="6E690D37"/>
    <w:rsid w:val="6E6D7744"/>
    <w:rsid w:val="6E7F7DE4"/>
    <w:rsid w:val="6EAC616D"/>
    <w:rsid w:val="6EF26E02"/>
    <w:rsid w:val="6EFF345A"/>
    <w:rsid w:val="6F0E41D6"/>
    <w:rsid w:val="6F545FAB"/>
    <w:rsid w:val="6F8314B0"/>
    <w:rsid w:val="6F9305DF"/>
    <w:rsid w:val="6F9754E6"/>
    <w:rsid w:val="6FB4540B"/>
    <w:rsid w:val="6FCE67A2"/>
    <w:rsid w:val="6FF02DD6"/>
    <w:rsid w:val="6FF158D8"/>
    <w:rsid w:val="70105F1E"/>
    <w:rsid w:val="701D50DA"/>
    <w:rsid w:val="7060771A"/>
    <w:rsid w:val="707444CE"/>
    <w:rsid w:val="70836D22"/>
    <w:rsid w:val="70871F10"/>
    <w:rsid w:val="70876740"/>
    <w:rsid w:val="70B6015D"/>
    <w:rsid w:val="70C73255"/>
    <w:rsid w:val="70D304FC"/>
    <w:rsid w:val="70ED7E08"/>
    <w:rsid w:val="712E196D"/>
    <w:rsid w:val="714A6A1D"/>
    <w:rsid w:val="71610FBE"/>
    <w:rsid w:val="716A3DF9"/>
    <w:rsid w:val="716A3EDF"/>
    <w:rsid w:val="71A54FE2"/>
    <w:rsid w:val="71AD3163"/>
    <w:rsid w:val="71B473FD"/>
    <w:rsid w:val="71D20C99"/>
    <w:rsid w:val="71DA714C"/>
    <w:rsid w:val="71DB7C23"/>
    <w:rsid w:val="71EF33B7"/>
    <w:rsid w:val="725008FF"/>
    <w:rsid w:val="726B0346"/>
    <w:rsid w:val="72714091"/>
    <w:rsid w:val="72760778"/>
    <w:rsid w:val="729B16F3"/>
    <w:rsid w:val="72A07888"/>
    <w:rsid w:val="72D249CB"/>
    <w:rsid w:val="72D87685"/>
    <w:rsid w:val="72F172BF"/>
    <w:rsid w:val="7304482B"/>
    <w:rsid w:val="7344181A"/>
    <w:rsid w:val="735352FB"/>
    <w:rsid w:val="735B4A8E"/>
    <w:rsid w:val="736A1703"/>
    <w:rsid w:val="736D1458"/>
    <w:rsid w:val="737253F1"/>
    <w:rsid w:val="73806CBB"/>
    <w:rsid w:val="73A277FF"/>
    <w:rsid w:val="73B81E4C"/>
    <w:rsid w:val="73C0168D"/>
    <w:rsid w:val="73CD3976"/>
    <w:rsid w:val="73D8748B"/>
    <w:rsid w:val="73E02D1E"/>
    <w:rsid w:val="74034FF8"/>
    <w:rsid w:val="743104E3"/>
    <w:rsid w:val="74320C3C"/>
    <w:rsid w:val="74406823"/>
    <w:rsid w:val="74513162"/>
    <w:rsid w:val="74615626"/>
    <w:rsid w:val="746D771A"/>
    <w:rsid w:val="74CC6413"/>
    <w:rsid w:val="74DE741F"/>
    <w:rsid w:val="74F0095C"/>
    <w:rsid w:val="75251AAA"/>
    <w:rsid w:val="75431AF8"/>
    <w:rsid w:val="75722CA5"/>
    <w:rsid w:val="757B75BC"/>
    <w:rsid w:val="75892BAD"/>
    <w:rsid w:val="761B6BE8"/>
    <w:rsid w:val="76236EB2"/>
    <w:rsid w:val="762605C8"/>
    <w:rsid w:val="76406925"/>
    <w:rsid w:val="76893B07"/>
    <w:rsid w:val="76A665D3"/>
    <w:rsid w:val="76AA65FC"/>
    <w:rsid w:val="76AE5F7B"/>
    <w:rsid w:val="76B463AC"/>
    <w:rsid w:val="76D42F34"/>
    <w:rsid w:val="76F92B8E"/>
    <w:rsid w:val="76FA73DD"/>
    <w:rsid w:val="774909FB"/>
    <w:rsid w:val="77676789"/>
    <w:rsid w:val="7774006F"/>
    <w:rsid w:val="777D5C41"/>
    <w:rsid w:val="778F57A9"/>
    <w:rsid w:val="77AE5C93"/>
    <w:rsid w:val="77C345AE"/>
    <w:rsid w:val="77D87C21"/>
    <w:rsid w:val="77ED577F"/>
    <w:rsid w:val="78214863"/>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54586F"/>
    <w:rsid w:val="7A621A00"/>
    <w:rsid w:val="7A7B4401"/>
    <w:rsid w:val="7A905081"/>
    <w:rsid w:val="7ACB66ED"/>
    <w:rsid w:val="7AEF7305"/>
    <w:rsid w:val="7B3E0A41"/>
    <w:rsid w:val="7B6C46EB"/>
    <w:rsid w:val="7BB3045A"/>
    <w:rsid w:val="7BC53962"/>
    <w:rsid w:val="7C323980"/>
    <w:rsid w:val="7C8A30E5"/>
    <w:rsid w:val="7CDB3559"/>
    <w:rsid w:val="7CE97D7C"/>
    <w:rsid w:val="7CF14E85"/>
    <w:rsid w:val="7CF30B51"/>
    <w:rsid w:val="7D315305"/>
    <w:rsid w:val="7D4F613C"/>
    <w:rsid w:val="7D543CAC"/>
    <w:rsid w:val="7D6F6D36"/>
    <w:rsid w:val="7D995DB5"/>
    <w:rsid w:val="7DBA04C7"/>
    <w:rsid w:val="7DE8565F"/>
    <w:rsid w:val="7E087602"/>
    <w:rsid w:val="7E1B4D57"/>
    <w:rsid w:val="7E2722FF"/>
    <w:rsid w:val="7E316FA8"/>
    <w:rsid w:val="7E3B6646"/>
    <w:rsid w:val="7E400B6D"/>
    <w:rsid w:val="7E456F3D"/>
    <w:rsid w:val="7E543DFE"/>
    <w:rsid w:val="7E561B5A"/>
    <w:rsid w:val="7E745CBB"/>
    <w:rsid w:val="7E7C58DC"/>
    <w:rsid w:val="7EAB1865"/>
    <w:rsid w:val="7EC12F48"/>
    <w:rsid w:val="7ED61BCF"/>
    <w:rsid w:val="7EE919FF"/>
    <w:rsid w:val="7F0441A9"/>
    <w:rsid w:val="7F0C441B"/>
    <w:rsid w:val="7F13569D"/>
    <w:rsid w:val="7F58120E"/>
    <w:rsid w:val="7F653518"/>
    <w:rsid w:val="7F9F6DBE"/>
    <w:rsid w:val="7FB87EFF"/>
    <w:rsid w:val="7FD01879"/>
    <w:rsid w:val="7FE63412"/>
    <w:rsid w:val="BE7F5F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after="330" w:line="576" w:lineRule="auto"/>
      <w:outlineLvl w:val="0"/>
    </w:pPr>
    <w:rPr>
      <w:b/>
      <w:kern w:val="44"/>
      <w:sz w:val="44"/>
    </w:rPr>
  </w:style>
  <w:style w:type="paragraph" w:styleId="5">
    <w:name w:val="heading 3"/>
    <w:basedOn w:val="1"/>
    <w:next w:val="1"/>
    <w:link w:val="22"/>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3"/>
    <w:qFormat/>
    <w:uiPriority w:val="99"/>
    <w:pPr>
      <w:spacing w:after="120"/>
    </w:pPr>
  </w:style>
  <w:style w:type="paragraph" w:styleId="3">
    <w:name w:val="Body Text First Indent"/>
    <w:basedOn w:val="2"/>
    <w:link w:val="24"/>
    <w:qFormat/>
    <w:uiPriority w:val="0"/>
    <w:pPr>
      <w:widowControl/>
      <w:ind w:firstLine="420" w:firstLineChars="100"/>
    </w:pPr>
    <w:rPr>
      <w:rFonts w:ascii="Calibri" w:hAnsi="Calibri" w:cs="宋体"/>
      <w:szCs w:val="22"/>
    </w:rPr>
  </w:style>
  <w:style w:type="paragraph" w:styleId="6">
    <w:name w:val="Document Map"/>
    <w:basedOn w:val="1"/>
    <w:link w:val="29"/>
    <w:qFormat/>
    <w:uiPriority w:val="99"/>
    <w:rPr>
      <w:rFonts w:ascii="宋体"/>
      <w:sz w:val="18"/>
      <w:szCs w:val="18"/>
    </w:rPr>
  </w:style>
  <w:style w:type="paragraph" w:styleId="7">
    <w:name w:val="annotation text"/>
    <w:basedOn w:val="1"/>
    <w:link w:val="32"/>
    <w:qFormat/>
    <w:uiPriority w:val="99"/>
    <w:pPr>
      <w:jc w:val="left"/>
    </w:pPr>
  </w:style>
  <w:style w:type="paragraph" w:styleId="8">
    <w:name w:val="Body Text Indent"/>
    <w:basedOn w:val="1"/>
    <w:next w:val="1"/>
    <w:qFormat/>
    <w:uiPriority w:val="0"/>
    <w:pPr>
      <w:spacing w:line="520" w:lineRule="exact"/>
      <w:ind w:left="570"/>
    </w:pPr>
    <w:rPr>
      <w:rFonts w:ascii="方正仿宋简体" w:hAnsi="创艺简仿宋" w:eastAsia="方正仿宋简体"/>
      <w:sz w:val="24"/>
    </w:rPr>
  </w:style>
  <w:style w:type="paragraph" w:styleId="9">
    <w:name w:val="Balloon Text"/>
    <w:basedOn w:val="1"/>
    <w:link w:val="27"/>
    <w:qFormat/>
    <w:uiPriority w:val="99"/>
    <w:rPr>
      <w:sz w:val="18"/>
      <w:szCs w:val="18"/>
    </w:rPr>
  </w:style>
  <w:style w:type="paragraph" w:styleId="10">
    <w:name w:val="footer"/>
    <w:basedOn w:val="1"/>
    <w:link w:val="26"/>
    <w:qFormat/>
    <w:uiPriority w:val="99"/>
    <w:pPr>
      <w:tabs>
        <w:tab w:val="center" w:pos="4153"/>
        <w:tab w:val="right" w:pos="8306"/>
      </w:tabs>
      <w:snapToGrid w:val="0"/>
      <w:jc w:val="left"/>
    </w:pPr>
    <w:rPr>
      <w:sz w:val="18"/>
      <w:szCs w:val="18"/>
    </w:rPr>
  </w:style>
  <w:style w:type="paragraph" w:styleId="11">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spacing w:beforeAutospacing="1" w:afterAutospacing="1"/>
      <w:jc w:val="left"/>
    </w:pPr>
    <w:rPr>
      <w:rFonts w:asciiTheme="minorHAnsi" w:hAnsiTheme="minorHAnsi" w:eastAsiaTheme="minorEastAsia"/>
      <w:kern w:val="0"/>
      <w:sz w:val="24"/>
      <w:szCs w:val="24"/>
    </w:rPr>
  </w:style>
  <w:style w:type="paragraph" w:styleId="13">
    <w:name w:val="annotation subject"/>
    <w:basedOn w:val="7"/>
    <w:next w:val="7"/>
    <w:link w:val="35"/>
    <w:unhideWhenUsed/>
    <w:qFormat/>
    <w:uiPriority w:val="99"/>
    <w:rPr>
      <w:b/>
      <w:bCs/>
    </w:rPr>
  </w:style>
  <w:style w:type="paragraph" w:styleId="14">
    <w:name w:val="Body Text First Indent 2"/>
    <w:basedOn w:val="8"/>
    <w:qFormat/>
    <w:uiPriority w:val="0"/>
    <w:pPr>
      <w:spacing w:after="120" w:line="240" w:lineRule="auto"/>
      <w:ind w:left="420" w:leftChars="200" w:firstLine="420"/>
    </w:pPr>
    <w:rPr>
      <w:sz w:val="21"/>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styleId="19">
    <w:name w:val="annotation reference"/>
    <w:basedOn w:val="17"/>
    <w:qFormat/>
    <w:uiPriority w:val="99"/>
    <w:rPr>
      <w:sz w:val="21"/>
      <w:szCs w:val="21"/>
    </w:rPr>
  </w:style>
  <w:style w:type="character" w:customStyle="1" w:styleId="20">
    <w:name w:val="正文缩进2格 Char"/>
    <w:link w:val="21"/>
    <w:qFormat/>
    <w:uiPriority w:val="0"/>
    <w:rPr>
      <w:rFonts w:ascii="仿宋_GB2312" w:hAnsi="宋体" w:eastAsia="仿宋_GB2312" w:cs="仿宋_GB2312"/>
      <w:sz w:val="31"/>
      <w:szCs w:val="31"/>
    </w:rPr>
  </w:style>
  <w:style w:type="paragraph" w:customStyle="1" w:styleId="21">
    <w:name w:val="正文缩进2格"/>
    <w:basedOn w:val="1"/>
    <w:link w:val="20"/>
    <w:qFormat/>
    <w:uiPriority w:val="0"/>
    <w:pPr>
      <w:spacing w:line="600" w:lineRule="exact"/>
      <w:ind w:firstLine="639" w:firstLineChars="206"/>
    </w:pPr>
    <w:rPr>
      <w:rFonts w:ascii="仿宋_GB2312" w:hAnsi="宋体" w:eastAsia="仿宋_GB2312" w:cs="仿宋_GB2312"/>
      <w:sz w:val="31"/>
      <w:szCs w:val="31"/>
    </w:rPr>
  </w:style>
  <w:style w:type="character" w:customStyle="1" w:styleId="22">
    <w:name w:val="标题 3 字符"/>
    <w:basedOn w:val="17"/>
    <w:link w:val="5"/>
    <w:qFormat/>
    <w:uiPriority w:val="0"/>
    <w:rPr>
      <w:rFonts w:eastAsia="宋体"/>
      <w:b/>
      <w:sz w:val="32"/>
    </w:rPr>
  </w:style>
  <w:style w:type="character" w:customStyle="1" w:styleId="23">
    <w:name w:val="正文文本 字符"/>
    <w:basedOn w:val="17"/>
    <w:link w:val="2"/>
    <w:qFormat/>
    <w:uiPriority w:val="99"/>
    <w:rPr>
      <w:rFonts w:ascii="Times New Roman" w:hAnsi="Times New Roman" w:eastAsia="宋体" w:cs="Times New Roman"/>
      <w:szCs w:val="20"/>
    </w:rPr>
  </w:style>
  <w:style w:type="character" w:customStyle="1" w:styleId="24">
    <w:name w:val="正文文本首行缩进 字符"/>
    <w:basedOn w:val="23"/>
    <w:link w:val="3"/>
    <w:qFormat/>
    <w:uiPriority w:val="0"/>
    <w:rPr>
      <w:rFonts w:ascii="Times New Roman" w:hAnsi="Times New Roman" w:eastAsia="宋体" w:cs="Times New Roman"/>
      <w:szCs w:val="20"/>
    </w:rPr>
  </w:style>
  <w:style w:type="character" w:customStyle="1" w:styleId="25">
    <w:name w:val="页眉 字符"/>
    <w:basedOn w:val="17"/>
    <w:link w:val="11"/>
    <w:qFormat/>
    <w:uiPriority w:val="99"/>
    <w:rPr>
      <w:rFonts w:ascii="Times New Roman" w:hAnsi="Times New Roman" w:eastAsia="宋体" w:cs="Times New Roman"/>
      <w:sz w:val="18"/>
      <w:szCs w:val="18"/>
    </w:rPr>
  </w:style>
  <w:style w:type="character" w:customStyle="1" w:styleId="26">
    <w:name w:val="页脚 字符"/>
    <w:basedOn w:val="17"/>
    <w:link w:val="10"/>
    <w:qFormat/>
    <w:uiPriority w:val="99"/>
    <w:rPr>
      <w:rFonts w:ascii="Times New Roman" w:hAnsi="Times New Roman" w:eastAsia="宋体" w:cs="Times New Roman"/>
      <w:sz w:val="18"/>
      <w:szCs w:val="18"/>
    </w:rPr>
  </w:style>
  <w:style w:type="character" w:customStyle="1" w:styleId="27">
    <w:name w:val="批注框文本 字符"/>
    <w:basedOn w:val="17"/>
    <w:link w:val="9"/>
    <w:qFormat/>
    <w:uiPriority w:val="99"/>
    <w:rPr>
      <w:rFonts w:ascii="Times New Roman" w:hAnsi="Times New Roman" w:eastAsia="宋体" w:cs="Times New Roman"/>
      <w:kern w:val="2"/>
      <w:sz w:val="18"/>
      <w:szCs w:val="18"/>
    </w:rPr>
  </w:style>
  <w:style w:type="paragraph" w:customStyle="1" w:styleId="28">
    <w:name w:val="列出段落1"/>
    <w:basedOn w:val="1"/>
    <w:qFormat/>
    <w:uiPriority w:val="0"/>
    <w:pPr>
      <w:ind w:firstLine="420" w:firstLineChars="200"/>
    </w:pPr>
  </w:style>
  <w:style w:type="character" w:customStyle="1" w:styleId="29">
    <w:name w:val="文档结构图 字符"/>
    <w:basedOn w:val="17"/>
    <w:link w:val="6"/>
    <w:qFormat/>
    <w:uiPriority w:val="99"/>
    <w:rPr>
      <w:rFonts w:ascii="宋体" w:hAnsi="Times New Roman" w:eastAsia="宋体" w:cs="Times New Roman"/>
      <w:kern w:val="2"/>
      <w:sz w:val="18"/>
      <w:szCs w:val="18"/>
    </w:rPr>
  </w:style>
  <w:style w:type="paragraph" w:customStyle="1" w:styleId="30">
    <w:name w:val="列出段落2"/>
    <w:basedOn w:val="1"/>
    <w:qFormat/>
    <w:uiPriority w:val="99"/>
    <w:pPr>
      <w:ind w:firstLine="420" w:firstLineChars="200"/>
    </w:pPr>
  </w:style>
  <w:style w:type="paragraph" w:customStyle="1" w:styleId="31">
    <w:name w:val="列表段落1"/>
    <w:basedOn w:val="1"/>
    <w:qFormat/>
    <w:uiPriority w:val="34"/>
    <w:pPr>
      <w:ind w:firstLine="420" w:firstLineChars="200"/>
    </w:pPr>
  </w:style>
  <w:style w:type="character" w:customStyle="1" w:styleId="32">
    <w:name w:val="批注文字 字符"/>
    <w:basedOn w:val="17"/>
    <w:link w:val="7"/>
    <w:qFormat/>
    <w:uiPriority w:val="99"/>
    <w:rPr>
      <w:rFonts w:ascii="Times New Roman" w:hAnsi="Times New Roman" w:cs="Times New Roman"/>
      <w:kern w:val="2"/>
      <w:sz w:val="21"/>
    </w:rPr>
  </w:style>
  <w:style w:type="character" w:customStyle="1" w:styleId="33">
    <w:name w:val="fontstyle01"/>
    <w:basedOn w:val="17"/>
    <w:qFormat/>
    <w:uiPriority w:val="0"/>
    <w:rPr>
      <w:rFonts w:hint="eastAsia" w:ascii="仿宋" w:hAnsi="仿宋" w:eastAsia="仿宋"/>
      <w:color w:val="000000"/>
      <w:sz w:val="28"/>
      <w:szCs w:val="28"/>
    </w:rPr>
  </w:style>
  <w:style w:type="paragraph" w:customStyle="1" w:styleId="34">
    <w:name w:val="修订1"/>
    <w:hidden/>
    <w:semiHidden/>
    <w:qFormat/>
    <w:uiPriority w:val="99"/>
    <w:rPr>
      <w:rFonts w:ascii="Times New Roman" w:hAnsi="Times New Roman" w:eastAsia="宋体" w:cs="Times New Roman"/>
      <w:kern w:val="2"/>
      <w:sz w:val="21"/>
      <w:lang w:val="en-US" w:eastAsia="zh-CN" w:bidi="ar-SA"/>
    </w:rPr>
  </w:style>
  <w:style w:type="character" w:customStyle="1" w:styleId="35">
    <w:name w:val="批注主题 字符"/>
    <w:basedOn w:val="32"/>
    <w:link w:val="13"/>
    <w:semiHidden/>
    <w:qFormat/>
    <w:uiPriority w:val="99"/>
    <w:rPr>
      <w:rFonts w:ascii="Times New Roman" w:hAnsi="Times New Roman" w:eastAsia="宋体" w:cs="Times New Roman"/>
      <w:b/>
      <w:bCs/>
      <w:kern w:val="2"/>
      <w:sz w:val="21"/>
    </w:rPr>
  </w:style>
  <w:style w:type="paragraph" w:styleId="36">
    <w:name w:val="List Paragraph"/>
    <w:basedOn w:val="1"/>
    <w:qFormat/>
    <w:uiPriority w:val="34"/>
    <w:pPr>
      <w:ind w:firstLine="420" w:firstLineChars="200"/>
    </w:pPr>
  </w:style>
  <w:style w:type="table" w:customStyle="1" w:styleId="37">
    <w:name w:val="网格表 6 彩色 - 着色 61"/>
    <w:basedOn w:val="15"/>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8">
    <w:name w:val="_Style 13"/>
    <w:basedOn w:val="1"/>
    <w:next w:val="36"/>
    <w:qFormat/>
    <w:uiPriority w:val="0"/>
    <w:pPr>
      <w:ind w:firstLine="420" w:firstLineChars="200"/>
    </w:pPr>
    <w:rPr>
      <w:rFonts w:ascii="Calibri" w:hAnsi="Calibri"/>
      <w:szCs w:val="24"/>
    </w:rPr>
  </w:style>
  <w:style w:type="character" w:customStyle="1" w:styleId="39">
    <w:name w:val="未处理的提及1"/>
    <w:basedOn w:val="17"/>
    <w:semiHidden/>
    <w:unhideWhenUsed/>
    <w:qFormat/>
    <w:uiPriority w:val="99"/>
    <w:rPr>
      <w:color w:val="605E5C"/>
      <w:shd w:val="clear" w:color="auto" w:fill="E1DFDD"/>
    </w:rPr>
  </w:style>
  <w:style w:type="character" w:customStyle="1" w:styleId="40">
    <w:name w:val="未处理的提及2"/>
    <w:basedOn w:val="17"/>
    <w:semiHidden/>
    <w:unhideWhenUsed/>
    <w:qFormat/>
    <w:uiPriority w:val="99"/>
    <w:rPr>
      <w:color w:val="605E5C"/>
      <w:shd w:val="clear" w:color="auto" w:fill="E1DFDD"/>
    </w:rPr>
  </w:style>
  <w:style w:type="paragraph" w:customStyle="1" w:styleId="41">
    <w:name w:val="修订2"/>
    <w:hidden/>
    <w:semiHidden/>
    <w:qFormat/>
    <w:uiPriority w:val="99"/>
    <w:rPr>
      <w:rFonts w:ascii="Times New Roman" w:hAnsi="Times New Roman" w:eastAsia="宋体" w:cs="Times New Roman"/>
      <w:kern w:val="2"/>
      <w:sz w:val="21"/>
      <w:lang w:val="en-US" w:eastAsia="zh-CN" w:bidi="ar-SA"/>
    </w:rPr>
  </w:style>
  <w:style w:type="character" w:customStyle="1" w:styleId="42">
    <w:name w:val="font12"/>
    <w:basedOn w:val="17"/>
    <w:qFormat/>
    <w:uiPriority w:val="0"/>
    <w:rPr>
      <w:rFonts w:hint="eastAsia" w:ascii="宋体" w:hAnsi="宋体" w:eastAsia="宋体" w:cs="宋体"/>
      <w:color w:val="000000"/>
      <w:sz w:val="16"/>
      <w:szCs w:val="16"/>
      <w:u w:val="none"/>
    </w:rPr>
  </w:style>
  <w:style w:type="character" w:customStyle="1" w:styleId="43">
    <w:name w:val="font81"/>
    <w:basedOn w:val="17"/>
    <w:qFormat/>
    <w:uiPriority w:val="0"/>
    <w:rPr>
      <w:rFonts w:hint="eastAsia" w:ascii="宋体" w:hAnsi="宋体" w:eastAsia="宋体" w:cs="宋体"/>
      <w:color w:val="000000"/>
      <w:sz w:val="22"/>
      <w:szCs w:val="22"/>
      <w:u w:val="none"/>
      <w:vertAlign w:val="superscript"/>
    </w:rPr>
  </w:style>
  <w:style w:type="character" w:customStyle="1" w:styleId="44">
    <w:name w:val="font112"/>
    <w:basedOn w:val="17"/>
    <w:qFormat/>
    <w:uiPriority w:val="0"/>
    <w:rPr>
      <w:rFonts w:hint="eastAsia" w:ascii="宋体" w:hAnsi="宋体" w:eastAsia="宋体" w:cs="宋体"/>
      <w:color w:val="000000"/>
      <w:sz w:val="16"/>
      <w:szCs w:val="16"/>
      <w:u w:val="none"/>
    </w:rPr>
  </w:style>
  <w:style w:type="character" w:customStyle="1" w:styleId="45">
    <w:name w:val="font51"/>
    <w:basedOn w:val="17"/>
    <w:qFormat/>
    <w:uiPriority w:val="0"/>
    <w:rPr>
      <w:rFonts w:hint="eastAsia" w:ascii="宋体" w:hAnsi="宋体" w:eastAsia="宋体" w:cs="宋体"/>
      <w:color w:val="000000"/>
      <w:sz w:val="22"/>
      <w:szCs w:val="22"/>
      <w:u w:val="none"/>
    </w:rPr>
  </w:style>
  <w:style w:type="character" w:customStyle="1" w:styleId="46">
    <w:name w:val="font121"/>
    <w:basedOn w:val="17"/>
    <w:qFormat/>
    <w:uiPriority w:val="0"/>
    <w:rPr>
      <w:rFonts w:hint="eastAsia" w:ascii="宋体" w:hAnsi="宋体" w:eastAsia="宋体" w:cs="宋体"/>
      <w:color w:val="000000"/>
      <w:sz w:val="16"/>
      <w:szCs w:val="16"/>
      <w:u w:val="none"/>
    </w:rPr>
  </w:style>
  <w:style w:type="character" w:customStyle="1" w:styleId="47">
    <w:name w:val="font131"/>
    <w:basedOn w:val="17"/>
    <w:qFormat/>
    <w:uiPriority w:val="0"/>
    <w:rPr>
      <w:rFonts w:hint="eastAsia" w:ascii="宋体" w:hAnsi="宋体" w:eastAsia="宋体" w:cs="宋体"/>
      <w:color w:val="000000"/>
      <w:sz w:val="22"/>
      <w:szCs w:val="22"/>
      <w:u w:val="none"/>
      <w:vertAlign w:val="subscript"/>
    </w:rPr>
  </w:style>
  <w:style w:type="character" w:customStyle="1" w:styleId="48">
    <w:name w:val="font101"/>
    <w:basedOn w:val="17"/>
    <w:qFormat/>
    <w:uiPriority w:val="0"/>
    <w:rPr>
      <w:rFonts w:hint="eastAsia" w:ascii="仿宋" w:hAnsi="仿宋" w:eastAsia="仿宋" w:cs="仿宋"/>
      <w:color w:val="000000"/>
      <w:sz w:val="22"/>
      <w:szCs w:val="22"/>
      <w:u w:val="none"/>
    </w:rPr>
  </w:style>
  <w:style w:type="character" w:customStyle="1" w:styleId="49">
    <w:name w:val="font141"/>
    <w:basedOn w:val="17"/>
    <w:qFormat/>
    <w:uiPriority w:val="0"/>
    <w:rPr>
      <w:rFonts w:ascii="微软雅黑" w:hAnsi="微软雅黑" w:eastAsia="微软雅黑" w:cs="微软雅黑"/>
      <w:color w:val="000000"/>
      <w:sz w:val="22"/>
      <w:szCs w:val="22"/>
      <w:u w:val="none"/>
    </w:rPr>
  </w:style>
  <w:style w:type="character" w:customStyle="1" w:styleId="50">
    <w:name w:val="font21"/>
    <w:basedOn w:val="17"/>
    <w:qFormat/>
    <w:uiPriority w:val="0"/>
    <w:rPr>
      <w:rFonts w:hint="eastAsia" w:ascii="宋体" w:hAnsi="宋体" w:eastAsia="宋体" w:cs="宋体"/>
      <w:color w:val="000000"/>
      <w:sz w:val="22"/>
      <w:szCs w:val="22"/>
      <w:u w:val="none"/>
    </w:rPr>
  </w:style>
  <w:style w:type="character" w:customStyle="1" w:styleId="51">
    <w:name w:val="font31"/>
    <w:basedOn w:val="17"/>
    <w:qFormat/>
    <w:uiPriority w:val="0"/>
    <w:rPr>
      <w:rFonts w:hint="default" w:ascii="Times New Roman" w:hAnsi="Times New Roman" w:cs="Times New Roman"/>
      <w:color w:val="000000"/>
      <w:sz w:val="22"/>
      <w:szCs w:val="22"/>
      <w:u w:val="none"/>
    </w:rPr>
  </w:style>
  <w:style w:type="character" w:customStyle="1" w:styleId="52">
    <w:name w:val="font11"/>
    <w:basedOn w:val="17"/>
    <w:qFormat/>
    <w:uiPriority w:val="0"/>
    <w:rPr>
      <w:rFonts w:hint="eastAsia" w:ascii="宋体" w:hAnsi="宋体" w:eastAsia="宋体" w:cs="宋体"/>
      <w:color w:val="000000"/>
      <w:sz w:val="22"/>
      <w:szCs w:val="22"/>
      <w:u w:val="none"/>
    </w:rPr>
  </w:style>
  <w:style w:type="character" w:customStyle="1" w:styleId="53">
    <w:name w:val="font41"/>
    <w:basedOn w:val="17"/>
    <w:qFormat/>
    <w:uiPriority w:val="0"/>
    <w:rPr>
      <w:rFonts w:hint="default" w:ascii="Times New Roman" w:hAnsi="Times New Roman" w:cs="Times New Roman"/>
      <w:color w:val="000000"/>
      <w:sz w:val="22"/>
      <w:szCs w:val="22"/>
      <w:u w:val="none"/>
    </w:rPr>
  </w:style>
  <w:style w:type="character" w:customStyle="1" w:styleId="54">
    <w:name w:val="font71"/>
    <w:basedOn w:val="17"/>
    <w:qFormat/>
    <w:uiPriority w:val="0"/>
    <w:rPr>
      <w:rFonts w:hint="eastAsia" w:ascii="宋体" w:hAnsi="宋体" w:eastAsia="宋体" w:cs="宋体"/>
      <w:b/>
      <w:color w:val="000000"/>
      <w:sz w:val="22"/>
      <w:szCs w:val="22"/>
      <w:u w:val="none"/>
    </w:rPr>
  </w:style>
  <w:style w:type="character" w:customStyle="1" w:styleId="55">
    <w:name w:val="font91"/>
    <w:basedOn w:val="17"/>
    <w:qFormat/>
    <w:uiPriority w:val="0"/>
    <w:rPr>
      <w:rFonts w:hint="eastAsia" w:ascii="宋体" w:hAnsi="宋体" w:eastAsia="宋体" w:cs="宋体"/>
      <w:color w:val="000000"/>
      <w:sz w:val="22"/>
      <w:szCs w:val="22"/>
      <w:u w:val="none"/>
    </w:rPr>
  </w:style>
  <w:style w:type="character" w:customStyle="1" w:styleId="56">
    <w:name w:val="font61"/>
    <w:basedOn w:val="17"/>
    <w:qFormat/>
    <w:uiPriority w:val="0"/>
    <w:rPr>
      <w:rFonts w:hint="eastAsia" w:ascii="宋体" w:hAnsi="宋体" w:eastAsia="宋体" w:cs="宋体"/>
      <w:color w:val="000000"/>
      <w:sz w:val="22"/>
      <w:szCs w:val="22"/>
      <w:u w:val="none"/>
    </w:rPr>
  </w:style>
  <w:style w:type="character" w:customStyle="1" w:styleId="57">
    <w:name w:val="font01"/>
    <w:basedOn w:val="17"/>
    <w:qFormat/>
    <w:uiPriority w:val="0"/>
    <w:rPr>
      <w:rFonts w:hint="eastAsia" w:ascii="宋体" w:hAnsi="宋体" w:eastAsia="宋体" w:cs="宋体"/>
      <w:b/>
      <w:color w:val="000000"/>
      <w:sz w:val="22"/>
      <w:szCs w:val="22"/>
      <w:u w:val="none"/>
    </w:rPr>
  </w:style>
  <w:style w:type="paragraph" w:customStyle="1" w:styleId="58">
    <w:name w:val="WPSOffice手动目录 1"/>
    <w:qFormat/>
    <w:uiPriority w:val="0"/>
    <w:rPr>
      <w:rFonts w:ascii="Times New Roman" w:hAnsi="Times New Roman" w:eastAsia="宋体" w:cs="Times New Roman"/>
      <w:lang w:val="en-US" w:eastAsia="zh-CN" w:bidi="ar-SA"/>
    </w:rPr>
  </w:style>
  <w:style w:type="paragraph" w:customStyle="1" w:styleId="5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0">
    <w:name w:val="修订3"/>
    <w:hidden/>
    <w:semiHidden/>
    <w:qFormat/>
    <w:uiPriority w:val="99"/>
    <w:rPr>
      <w:rFonts w:ascii="Times New Roman" w:hAnsi="Times New Roman" w:eastAsia="宋体" w:cs="Times New Roman"/>
      <w:kern w:val="2"/>
      <w:sz w:val="21"/>
      <w:lang w:val="en-US" w:eastAsia="zh-CN" w:bidi="ar-SA"/>
    </w:rPr>
  </w:style>
  <w:style w:type="paragraph" w:customStyle="1" w:styleId="61">
    <w:name w:val="修订4"/>
    <w:hidden/>
    <w:semiHidden/>
    <w:qFormat/>
    <w:uiPriority w:val="99"/>
    <w:rPr>
      <w:rFonts w:ascii="Times New Roman" w:hAnsi="Times New Roman" w:eastAsia="宋体" w:cs="Times New Roman"/>
      <w:kern w:val="2"/>
      <w:sz w:val="21"/>
      <w:lang w:val="en-US" w:eastAsia="zh-CN" w:bidi="ar-SA"/>
    </w:rPr>
  </w:style>
  <w:style w:type="paragraph" w:customStyle="1" w:styleId="62">
    <w:name w:val="Revision"/>
    <w:hidden/>
    <w:semiHidden/>
    <w:qFormat/>
    <w:uiPriority w:val="99"/>
    <w:rPr>
      <w:rFonts w:ascii="Times New Roman" w:hAnsi="Times New Roman" w:eastAsia="宋体" w:cs="Times New Roman"/>
      <w:kern w:val="2"/>
      <w:sz w:val="21"/>
      <w:lang w:val="en-US" w:eastAsia="zh-CN" w:bidi="ar-SA"/>
    </w:rPr>
  </w:style>
  <w:style w:type="table" w:customStyle="1" w:styleId="63">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NULL" TargetMode="Externa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06318-F17C-4EFF-AD0A-26A80AB8F53B}">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25</Pages>
  <Words>1480</Words>
  <Characters>8442</Characters>
  <Lines>70</Lines>
  <Paragraphs>19</Paragraphs>
  <TotalTime>40</TotalTime>
  <ScaleCrop>false</ScaleCrop>
  <LinksUpToDate>false</LinksUpToDate>
  <CharactersWithSpaces>9903</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2021-07-14T03:21:00Z</dcterms:created>
  <dc:creator>Jeo Xie</dc:creator>
  <cp:lastModifiedBy>Zer0°</cp:lastModifiedBy>
  <cp:lastPrinted>2023-12-07T02:44:42Z</cp:lastPrinted>
  <dcterms:modified xsi:type="dcterms:W3CDTF">2023-12-07T02:45:04Z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E47C835922EC49778CFC53ADF27BD402</vt:lpwstr>
  </property>
</Properties>
</file>