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before="120" w:after="120" w:line="360" w:lineRule="auto"/>
        <w:jc w:val="center"/>
        <w:rPr>
          <w:rFonts w:ascii="仿宋" w:hAnsi="仿宋" w:eastAsia="仿宋"/>
          <w:sz w:val="44"/>
          <w:szCs w:val="44"/>
        </w:rPr>
      </w:pPr>
      <w:r>
        <w:rPr>
          <w:rFonts w:ascii="仿宋" w:hAnsi="仿宋" w:eastAsia="仿宋"/>
          <w:sz w:val="44"/>
          <w:szCs w:val="44"/>
        </w:rPr>
        <w:t>询价</w:t>
      </w:r>
      <w:r>
        <w:rPr>
          <w:rFonts w:hint="eastAsia" w:ascii="仿宋" w:hAnsi="仿宋" w:eastAsia="仿宋"/>
          <w:sz w:val="44"/>
          <w:szCs w:val="44"/>
        </w:rPr>
        <w:t>文件</w:t>
      </w:r>
    </w:p>
    <w:p>
      <w:pPr>
        <w:adjustRightInd w:val="0"/>
        <w:snapToGrid w:val="0"/>
        <w:spacing w:line="360" w:lineRule="auto"/>
        <w:ind w:firstLine="640" w:firstLineChars="200"/>
        <w:rPr>
          <w:rFonts w:ascii="仿宋" w:hAnsi="仿宋" w:eastAsia="仿宋"/>
          <w:sz w:val="32"/>
          <w:szCs w:val="32"/>
        </w:rPr>
      </w:pPr>
      <w:r>
        <w:rPr>
          <w:rFonts w:ascii="仿宋" w:hAnsi="仿宋" w:eastAsia="仿宋"/>
          <w:sz w:val="32"/>
          <w:szCs w:val="32"/>
        </w:rPr>
        <w:t>本公司（东莞市新东欣环保投资有限公司）</w:t>
      </w:r>
      <w:r>
        <w:rPr>
          <w:rFonts w:hint="eastAsia" w:ascii="仿宋" w:hAnsi="仿宋" w:eastAsia="仿宋"/>
          <w:sz w:val="32"/>
          <w:szCs w:val="32"/>
        </w:rPr>
        <w:t>需采购阿贝尔闭口闪点测定仪（ABA4），包括货物的供货、运输、安装、调试、培训及售后服务等。现将相关情况介绍如下：</w:t>
      </w:r>
    </w:p>
    <w:p>
      <w:pPr>
        <w:adjustRightInd w:val="0"/>
        <w:snapToGrid w:val="0"/>
        <w:spacing w:line="360" w:lineRule="auto"/>
        <w:ind w:firstLine="643" w:firstLineChars="200"/>
        <w:rPr>
          <w:rFonts w:ascii="仿宋" w:hAnsi="仿宋" w:eastAsia="仿宋"/>
          <w:b/>
          <w:bCs/>
          <w:sz w:val="32"/>
          <w:szCs w:val="32"/>
        </w:rPr>
      </w:pPr>
      <w:r>
        <w:rPr>
          <w:rFonts w:ascii="仿宋" w:hAnsi="仿宋" w:eastAsia="仿宋"/>
          <w:b/>
          <w:bCs/>
          <w:sz w:val="32"/>
          <w:szCs w:val="32"/>
        </w:rPr>
        <w:t>一、项目名称及内容</w:t>
      </w:r>
    </w:p>
    <w:p>
      <w:pPr>
        <w:pStyle w:val="34"/>
        <w:spacing w:line="360" w:lineRule="auto"/>
        <w:ind w:firstLine="640"/>
        <w:outlineLvl w:val="1"/>
        <w:rPr>
          <w:rFonts w:ascii="仿宋" w:hAnsi="仿宋" w:eastAsia="仿宋"/>
          <w:sz w:val="32"/>
          <w:szCs w:val="32"/>
        </w:rPr>
      </w:pPr>
      <w:r>
        <w:rPr>
          <w:rFonts w:hint="eastAsia" w:ascii="仿宋" w:hAnsi="仿宋" w:eastAsia="仿宋"/>
          <w:sz w:val="32"/>
          <w:szCs w:val="32"/>
        </w:rPr>
        <w:t>东莞市海心沙资源综合利用中心绿色工业服务项目检测中心阿贝尔闪点仪（ABA4）采购项目。</w:t>
      </w:r>
    </w:p>
    <w:p>
      <w:pPr>
        <w:pStyle w:val="34"/>
        <w:spacing w:line="360" w:lineRule="auto"/>
        <w:ind w:firstLine="643"/>
        <w:outlineLvl w:val="1"/>
        <w:rPr>
          <w:rFonts w:ascii="仿宋" w:hAnsi="仿宋" w:eastAsia="仿宋"/>
          <w:b/>
          <w:bCs/>
          <w:sz w:val="32"/>
          <w:szCs w:val="32"/>
        </w:rPr>
      </w:pPr>
      <w:r>
        <w:rPr>
          <w:rFonts w:hint="eastAsia" w:ascii="仿宋" w:hAnsi="仿宋" w:eastAsia="仿宋"/>
          <w:b/>
          <w:bCs/>
          <w:sz w:val="32"/>
          <w:szCs w:val="32"/>
        </w:rPr>
        <w:t>二</w:t>
      </w:r>
      <w:r>
        <w:rPr>
          <w:rFonts w:ascii="仿宋" w:hAnsi="仿宋" w:eastAsia="仿宋"/>
          <w:b/>
          <w:bCs/>
          <w:sz w:val="32"/>
          <w:szCs w:val="32"/>
        </w:rPr>
        <w:t>、项目概况</w:t>
      </w:r>
    </w:p>
    <w:p>
      <w:pPr>
        <w:spacing w:line="360" w:lineRule="auto"/>
        <w:ind w:firstLine="640" w:firstLineChars="200"/>
        <w:rPr>
          <w:rFonts w:ascii="仿宋" w:hAnsi="仿宋" w:eastAsia="仿宋"/>
          <w:sz w:val="32"/>
          <w:szCs w:val="32"/>
        </w:rPr>
      </w:pPr>
      <w:r>
        <w:rPr>
          <w:rFonts w:hint="eastAsia" w:ascii="仿宋" w:hAnsi="仿宋" w:eastAsia="仿宋"/>
          <w:sz w:val="32"/>
          <w:szCs w:val="32"/>
        </w:rPr>
        <w:t>东莞市海心沙资源综合利用中心位于东莞市麻涌镇海心沙岛，占地面积</w:t>
      </w:r>
      <w:r>
        <w:rPr>
          <w:rFonts w:ascii="仿宋" w:hAnsi="仿宋" w:eastAsia="仿宋"/>
          <w:sz w:val="32"/>
          <w:szCs w:val="32"/>
        </w:rPr>
        <w:t>700亩，定位为以生活垃圾、餐厨垃圾、工业固体废物、环境事故应急处理处理为中心，以资源循环再生利用为目标，以产业融合、文化传承、生态环保相结合的“三生”共融发展为宗旨的绿色生态产业园,该中心划分为A/B/C/D四区，其中A区项目主要为处理工业危险废物，本项目供货服务地点位于东莞市麻涌镇大步村海心沙岛内。</w:t>
      </w:r>
    </w:p>
    <w:p>
      <w:pPr>
        <w:spacing w:line="360" w:lineRule="auto"/>
        <w:rPr>
          <w:rFonts w:hint="eastAsia" w:ascii="仿宋" w:hAnsi="仿宋" w:eastAsia="仿宋"/>
          <w:sz w:val="32"/>
          <w:szCs w:val="32"/>
          <w:lang w:val="en-US" w:eastAsia="zh-CN"/>
        </w:rPr>
      </w:pPr>
      <w:r>
        <w:rPr>
          <w:rFonts w:hint="eastAsia" w:ascii="仿宋" w:hAnsi="仿宋" w:eastAsia="仿宋"/>
          <w:sz w:val="32"/>
          <w:szCs w:val="32"/>
        </w:rPr>
        <w:t xml:space="preserve"> </w:t>
      </w:r>
      <w:r>
        <w:rPr>
          <w:rFonts w:ascii="仿宋" w:hAnsi="仿宋" w:eastAsia="仿宋"/>
          <w:sz w:val="32"/>
          <w:szCs w:val="32"/>
        </w:rPr>
        <w:t xml:space="preserve">   本项目采购信息在东莞实业投资控股集团有限公司网站（http://www.dgsy.com.cn/）</w:t>
      </w:r>
      <w:r>
        <w:rPr>
          <w:rFonts w:hint="eastAsia" w:ascii="仿宋" w:hAnsi="仿宋" w:eastAsia="仿宋"/>
          <w:sz w:val="32"/>
          <w:szCs w:val="32"/>
        </w:rPr>
        <w:t>、</w:t>
      </w:r>
      <w:bookmarkStart w:id="0" w:name="_Hlk73112413"/>
      <w:r>
        <w:rPr>
          <w:rFonts w:hint="eastAsia" w:ascii="仿宋" w:hAnsi="仿宋" w:eastAsia="仿宋"/>
          <w:sz w:val="32"/>
          <w:szCs w:val="32"/>
        </w:rPr>
        <w:t>东莞市东实新能源有限公司网站（</w:t>
      </w:r>
      <w:r>
        <w:rPr>
          <w:rFonts w:ascii="仿宋" w:hAnsi="仿宋" w:eastAsia="仿宋"/>
          <w:sz w:val="32"/>
          <w:szCs w:val="32"/>
        </w:rPr>
        <w:t>http://www.dshuanbao.com.cn/</w:t>
      </w:r>
      <w:r>
        <w:rPr>
          <w:rFonts w:hint="eastAsia" w:ascii="仿宋" w:hAnsi="仿宋" w:eastAsia="仿宋"/>
          <w:sz w:val="32"/>
          <w:szCs w:val="32"/>
        </w:rPr>
        <w:t>）</w:t>
      </w:r>
      <w:r>
        <w:rPr>
          <w:rFonts w:ascii="仿宋" w:hAnsi="仿宋" w:eastAsia="仿宋"/>
          <w:sz w:val="32"/>
          <w:szCs w:val="32"/>
        </w:rPr>
        <w:t>发布</w:t>
      </w:r>
      <w:bookmarkEnd w:id="0"/>
      <w:r>
        <w:rPr>
          <w:rFonts w:hint="eastAsia" w:ascii="仿宋" w:hAnsi="仿宋" w:eastAsia="仿宋"/>
          <w:sz w:val="32"/>
          <w:szCs w:val="32"/>
          <w:lang w:eastAsia="zh-CN"/>
        </w:rPr>
        <w:t>。</w:t>
      </w:r>
    </w:p>
    <w:p>
      <w:pPr>
        <w:spacing w:line="360" w:lineRule="auto"/>
        <w:ind w:firstLine="643" w:firstLineChars="200"/>
        <w:outlineLvl w:val="1"/>
        <w:rPr>
          <w:rFonts w:hint="default" w:ascii="仿宋" w:hAnsi="仿宋" w:eastAsia="仿宋"/>
          <w:b/>
          <w:bCs/>
          <w:sz w:val="32"/>
          <w:szCs w:val="32"/>
          <w:lang w:val="en-US" w:eastAsia="zh-CN"/>
        </w:rPr>
      </w:pPr>
      <w:r>
        <w:rPr>
          <w:rFonts w:ascii="仿宋" w:hAnsi="仿宋" w:eastAsia="仿宋"/>
          <w:b/>
          <w:bCs/>
          <w:sz w:val="32"/>
          <w:szCs w:val="32"/>
        </w:rPr>
        <w:t>三、</w:t>
      </w:r>
      <w:r>
        <w:rPr>
          <w:rFonts w:hint="eastAsia" w:ascii="仿宋" w:hAnsi="仿宋" w:eastAsia="仿宋"/>
          <w:b/>
          <w:bCs/>
          <w:sz w:val="32"/>
          <w:szCs w:val="32"/>
        </w:rPr>
        <w:t>报价人</w:t>
      </w:r>
      <w:r>
        <w:rPr>
          <w:rFonts w:ascii="仿宋" w:hAnsi="仿宋" w:eastAsia="仿宋"/>
          <w:b/>
          <w:bCs/>
          <w:sz w:val="32"/>
          <w:szCs w:val="32"/>
        </w:rPr>
        <w:t>资格要求</w:t>
      </w:r>
    </w:p>
    <w:p>
      <w:pPr>
        <w:adjustRightInd w:val="0"/>
        <w:snapToGrid w:val="0"/>
        <w:spacing w:line="360" w:lineRule="auto"/>
        <w:ind w:firstLine="640" w:firstLineChars="200"/>
        <w:rPr>
          <w:rFonts w:ascii="仿宋" w:hAnsi="仿宋" w:eastAsia="仿宋"/>
          <w:sz w:val="32"/>
          <w:szCs w:val="32"/>
        </w:rPr>
      </w:pPr>
      <w:r>
        <w:rPr>
          <w:rFonts w:hint="eastAsia" w:ascii="仿宋" w:hAnsi="仿宋" w:eastAsia="仿宋"/>
          <w:sz w:val="32"/>
          <w:szCs w:val="32"/>
        </w:rPr>
        <w:t>1、报价人必须是具有独立承担民事责任能力的企业或事业单位法人或其它组织。（提供《营业执照》复印件（加盖公章）或《事业单位法人证书》复印件（加盖公章）或其他主体证书复印件（加盖公章））。</w:t>
      </w:r>
    </w:p>
    <w:p>
      <w:pPr>
        <w:ind w:firstLine="640" w:firstLineChars="200"/>
        <w:rPr>
          <w:rFonts w:ascii="仿宋" w:hAnsi="仿宋" w:eastAsia="仿宋"/>
          <w:sz w:val="32"/>
          <w:szCs w:val="32"/>
        </w:rPr>
      </w:pPr>
      <w:r>
        <w:rPr>
          <w:rFonts w:hint="eastAsia" w:ascii="仿宋" w:hAnsi="仿宋" w:eastAsia="仿宋"/>
          <w:sz w:val="32"/>
          <w:szCs w:val="32"/>
        </w:rPr>
        <w:t>2、报价人必须具有同类项目供货的经验（项目业绩不少于一个，提供过往业绩合同主要页复印件及该项目任意一期发票复印件（加盖公章））。</w:t>
      </w:r>
    </w:p>
    <w:p>
      <w:pPr>
        <w:ind w:firstLine="640" w:firstLineChars="200"/>
        <w:rPr>
          <w:rFonts w:ascii="仿宋" w:hAnsi="仿宋" w:eastAsia="仿宋"/>
          <w:sz w:val="32"/>
          <w:szCs w:val="32"/>
        </w:rPr>
      </w:pPr>
      <w:r>
        <w:rPr>
          <w:rFonts w:hint="eastAsia" w:ascii="仿宋" w:hAnsi="仿宋" w:eastAsia="仿宋"/>
          <w:sz w:val="32"/>
          <w:szCs w:val="32"/>
          <w:lang w:val="en-US" w:eastAsia="zh-CN"/>
        </w:rPr>
        <w:t>3、</w:t>
      </w:r>
      <w:r>
        <w:rPr>
          <w:rFonts w:hint="eastAsia" w:ascii="仿宋" w:hAnsi="仿宋" w:eastAsia="仿宋"/>
          <w:sz w:val="32"/>
          <w:szCs w:val="32"/>
        </w:rPr>
        <w:t>报价人必须具有阿贝尔闪点仪（ABA4）供货的</w:t>
      </w:r>
      <w:r>
        <w:rPr>
          <w:rFonts w:hint="eastAsia" w:ascii="仿宋" w:hAnsi="仿宋" w:eastAsia="仿宋"/>
          <w:sz w:val="32"/>
          <w:szCs w:val="32"/>
          <w:lang w:val="en-US" w:eastAsia="zh-CN"/>
        </w:rPr>
        <w:t>相关授权证明</w:t>
      </w:r>
      <w:r>
        <w:rPr>
          <w:rFonts w:hint="eastAsia" w:ascii="仿宋" w:hAnsi="仿宋" w:eastAsia="仿宋"/>
          <w:sz w:val="32"/>
          <w:szCs w:val="32"/>
        </w:rPr>
        <w:t>（提供安东帕阿贝尔闪点仪ABA4</w:t>
      </w:r>
      <w:r>
        <w:rPr>
          <w:rFonts w:hint="eastAsia" w:ascii="仿宋" w:hAnsi="仿宋" w:eastAsia="仿宋"/>
          <w:sz w:val="32"/>
          <w:szCs w:val="32"/>
          <w:lang w:val="en-US" w:eastAsia="zh-CN"/>
        </w:rPr>
        <w:t>相关授权证明</w:t>
      </w:r>
      <w:r>
        <w:rPr>
          <w:rFonts w:hint="eastAsia" w:ascii="仿宋" w:hAnsi="仿宋" w:eastAsia="仿宋"/>
          <w:sz w:val="32"/>
          <w:szCs w:val="32"/>
        </w:rPr>
        <w:t>复印件（加盖公章））。</w:t>
      </w:r>
    </w:p>
    <w:p>
      <w:pPr>
        <w:ind w:firstLine="643" w:firstLineChars="200"/>
        <w:rPr>
          <w:rFonts w:ascii="仿宋" w:hAnsi="仿宋" w:eastAsia="仿宋"/>
          <w:b/>
          <w:bCs/>
          <w:sz w:val="32"/>
          <w:szCs w:val="32"/>
        </w:rPr>
      </w:pPr>
      <w:r>
        <w:rPr>
          <w:rFonts w:hint="eastAsia" w:ascii="仿宋" w:hAnsi="仿宋" w:eastAsia="仿宋"/>
          <w:b/>
          <w:bCs/>
          <w:sz w:val="32"/>
          <w:szCs w:val="32"/>
        </w:rPr>
        <w:t>四、采购范围及要求</w:t>
      </w:r>
    </w:p>
    <w:p>
      <w:pPr>
        <w:pStyle w:val="34"/>
        <w:spacing w:line="360" w:lineRule="auto"/>
        <w:ind w:firstLine="640"/>
        <w:outlineLvl w:val="1"/>
        <w:rPr>
          <w:rFonts w:ascii="仿宋" w:hAnsi="仿宋" w:eastAsia="仿宋"/>
          <w:sz w:val="32"/>
          <w:szCs w:val="32"/>
        </w:rPr>
      </w:pPr>
      <w:r>
        <w:rPr>
          <w:rFonts w:hint="eastAsia" w:ascii="仿宋" w:hAnsi="仿宋" w:eastAsia="仿宋"/>
          <w:sz w:val="32"/>
          <w:szCs w:val="32"/>
        </w:rPr>
        <w:t>（一）</w:t>
      </w:r>
      <w:r>
        <w:rPr>
          <w:rFonts w:ascii="仿宋" w:hAnsi="仿宋" w:eastAsia="仿宋"/>
          <w:sz w:val="32"/>
          <w:szCs w:val="32"/>
        </w:rPr>
        <w:t>本</w:t>
      </w:r>
      <w:r>
        <w:rPr>
          <w:rFonts w:hint="eastAsia" w:ascii="仿宋" w:hAnsi="仿宋" w:eastAsia="仿宋"/>
          <w:sz w:val="32"/>
          <w:szCs w:val="32"/>
        </w:rPr>
        <w:t>项目</w:t>
      </w:r>
      <w:r>
        <w:rPr>
          <w:rFonts w:ascii="仿宋" w:hAnsi="仿宋" w:eastAsia="仿宋"/>
          <w:sz w:val="32"/>
          <w:szCs w:val="32"/>
        </w:rPr>
        <w:t>采购及供货范围为：</w:t>
      </w:r>
      <w:r>
        <w:rPr>
          <w:rFonts w:hint="eastAsia" w:ascii="仿宋" w:hAnsi="仿宋" w:eastAsia="仿宋"/>
          <w:sz w:val="32"/>
          <w:szCs w:val="32"/>
        </w:rPr>
        <w:t>仪器设备需求清单中的实验仪器采购、保管、运输、安装、调试、操作技术指导及相应的售后服务工作、</w:t>
      </w:r>
      <w:r>
        <w:rPr>
          <w:rFonts w:ascii="仿宋" w:hAnsi="仿宋" w:eastAsia="仿宋"/>
          <w:sz w:val="32"/>
          <w:szCs w:val="32"/>
        </w:rPr>
        <w:t>保修期内的缺陷修复和保修等所有工作内容并负责通过验收。</w:t>
      </w:r>
    </w:p>
    <w:p>
      <w:pPr>
        <w:spacing w:line="600" w:lineRule="exact"/>
        <w:ind w:firstLine="643" w:firstLineChars="200"/>
        <w:rPr>
          <w:rFonts w:ascii="仿宋" w:hAnsi="仿宋" w:eastAsia="仿宋"/>
          <w:b/>
          <w:bCs/>
          <w:sz w:val="32"/>
          <w:szCs w:val="32"/>
        </w:rPr>
      </w:pPr>
      <w:r>
        <w:rPr>
          <w:rFonts w:hint="eastAsia" w:ascii="仿宋" w:hAnsi="仿宋" w:eastAsia="仿宋"/>
          <w:b/>
          <w:bCs/>
          <w:sz w:val="32"/>
          <w:szCs w:val="32"/>
        </w:rPr>
        <w:sym w:font="Wingdings" w:char="F0AB"/>
      </w:r>
      <w:r>
        <w:rPr>
          <w:rFonts w:hint="eastAsia" w:ascii="仿宋" w:hAnsi="仿宋" w:eastAsia="仿宋"/>
          <w:b/>
          <w:bCs/>
          <w:sz w:val="32"/>
          <w:szCs w:val="32"/>
        </w:rPr>
        <w:t>（二）供货清单及服务要求详见附件《东莞市海心沙资源综合利用中心绿色工业服务项目检测中心阿贝尔闪点仪（ABA4）</w:t>
      </w:r>
      <w:r>
        <w:rPr>
          <w:rFonts w:hint="eastAsia" w:ascii="仿宋" w:hAnsi="仿宋" w:eastAsia="仿宋"/>
          <w:b/>
          <w:bCs/>
          <w:sz w:val="32"/>
          <w:szCs w:val="32"/>
          <w:lang w:val="en-US" w:eastAsia="zh-CN"/>
        </w:rPr>
        <w:t>采购项目</w:t>
      </w:r>
      <w:r>
        <w:rPr>
          <w:rFonts w:hint="eastAsia" w:ascii="仿宋" w:hAnsi="仿宋" w:eastAsia="仿宋"/>
          <w:b/>
          <w:bCs/>
          <w:sz w:val="32"/>
          <w:szCs w:val="32"/>
        </w:rPr>
        <w:t>技术规格书》。</w:t>
      </w:r>
    </w:p>
    <w:p>
      <w:pPr>
        <w:spacing w:line="600" w:lineRule="exact"/>
        <w:ind w:firstLine="645"/>
        <w:rPr>
          <w:rFonts w:ascii="仿宋" w:hAnsi="仿宋" w:eastAsia="仿宋"/>
          <w:b/>
          <w:bCs/>
          <w:sz w:val="32"/>
          <w:szCs w:val="32"/>
        </w:rPr>
      </w:pPr>
      <w:r>
        <w:rPr>
          <w:rFonts w:hint="eastAsia" w:ascii="仿宋" w:hAnsi="仿宋" w:eastAsia="仿宋"/>
          <w:b/>
          <w:bCs/>
          <w:sz w:val="32"/>
          <w:szCs w:val="32"/>
        </w:rPr>
        <w:t>（三）质保服务</w:t>
      </w:r>
    </w:p>
    <w:p>
      <w:pPr>
        <w:spacing w:line="600" w:lineRule="exact"/>
        <w:ind w:firstLine="645"/>
        <w:rPr>
          <w:rFonts w:ascii="仿宋" w:hAnsi="仿宋" w:eastAsia="仿宋"/>
          <w:sz w:val="32"/>
          <w:szCs w:val="32"/>
        </w:rPr>
      </w:pPr>
      <w:r>
        <w:rPr>
          <w:rFonts w:hint="eastAsia" w:ascii="仿宋" w:hAnsi="仿宋" w:eastAsia="仿宋"/>
          <w:sz w:val="32"/>
          <w:szCs w:val="32"/>
        </w:rPr>
        <w:t>1、质量保证期：所有设备质保期为一年，自供需双方代表在仪器安装调试验收合格报告或证明上签字之日起计算，如质保期约定出现冲突时，以时间长的质保期为最终约定。所有设备的包换和包修服务遵从国家三包规定，并提供终身跟踪服务。</w:t>
      </w:r>
    </w:p>
    <w:p>
      <w:pPr>
        <w:pStyle w:val="2"/>
        <w:ind w:left="0" w:leftChars="0" w:firstLine="640" w:firstLineChars="200"/>
        <w:rPr>
          <w:rFonts w:ascii="仿宋" w:hAnsi="仿宋" w:eastAsia="仿宋"/>
          <w:sz w:val="32"/>
          <w:szCs w:val="32"/>
        </w:rPr>
      </w:pPr>
      <w:r>
        <w:rPr>
          <w:rFonts w:hint="eastAsia" w:ascii="仿宋" w:hAnsi="仿宋" w:eastAsia="仿宋"/>
          <w:sz w:val="32"/>
          <w:szCs w:val="32"/>
        </w:rPr>
        <w:t>2、质保期内，报价人应负责设备运行的稳定性。负责免费更换故障部件。若报价人提供的货物在功能上和性能上达不到设计要求的，采购人有权要求报价人进行及时完善或更换。</w:t>
      </w:r>
    </w:p>
    <w:p>
      <w:pPr>
        <w:spacing w:line="600" w:lineRule="exact"/>
        <w:ind w:firstLine="645"/>
        <w:rPr>
          <w:rFonts w:ascii="仿宋" w:hAnsi="仿宋" w:eastAsia="仿宋"/>
          <w:sz w:val="32"/>
          <w:szCs w:val="32"/>
        </w:rPr>
      </w:pPr>
      <w:r>
        <w:rPr>
          <w:rFonts w:hint="eastAsia" w:ascii="仿宋" w:hAnsi="仿宋" w:eastAsia="仿宋"/>
          <w:sz w:val="32"/>
          <w:szCs w:val="32"/>
        </w:rPr>
        <w:t>3、质保期内采购人所购设备各部件发生非人为故障，报价人应免费上门更换同种品牌规格型号的新部件，设备发生人为故障的，报价人应上门更换同种品牌规格型号的新部件，只收零配件成本，不加收其它任何费用。</w:t>
      </w:r>
    </w:p>
    <w:p>
      <w:pPr>
        <w:spacing w:line="600" w:lineRule="exact"/>
        <w:ind w:firstLine="645"/>
        <w:rPr>
          <w:rFonts w:ascii="仿宋" w:hAnsi="仿宋" w:eastAsia="仿宋"/>
          <w:b/>
          <w:bCs/>
          <w:sz w:val="32"/>
          <w:szCs w:val="32"/>
        </w:rPr>
      </w:pPr>
      <w:r>
        <w:rPr>
          <w:rFonts w:hint="eastAsia" w:ascii="仿宋" w:hAnsi="仿宋" w:eastAsia="仿宋"/>
          <w:b/>
          <w:bCs/>
          <w:sz w:val="32"/>
          <w:szCs w:val="32"/>
        </w:rPr>
        <w:t>（四）供货要求</w:t>
      </w:r>
    </w:p>
    <w:p>
      <w:pPr>
        <w:spacing w:line="600" w:lineRule="exact"/>
        <w:ind w:firstLine="645"/>
        <w:rPr>
          <w:rFonts w:ascii="仿宋" w:hAnsi="仿宋" w:eastAsia="仿宋"/>
          <w:sz w:val="32"/>
          <w:szCs w:val="32"/>
        </w:rPr>
      </w:pPr>
      <w:r>
        <w:rPr>
          <w:rFonts w:hint="eastAsia" w:ascii="仿宋" w:hAnsi="仿宋" w:eastAsia="仿宋"/>
          <w:sz w:val="32"/>
          <w:szCs w:val="32"/>
        </w:rPr>
        <w:t>1、本采购文件所提出的是最低限度的技术要求，并未对一切技术细节作出规定，也未充分引述有关标准和规范条文，报价人应保证提供符合国家标准、相关国际标准和本规范要求的优质产品及其相应的服务。对国家有关安全、环保等强制性标准，均能满足其要求。</w:t>
      </w:r>
    </w:p>
    <w:p>
      <w:pPr>
        <w:spacing w:line="600" w:lineRule="exact"/>
        <w:ind w:firstLine="645"/>
        <w:rPr>
          <w:rFonts w:ascii="仿宋" w:hAnsi="仿宋" w:eastAsia="仿宋"/>
          <w:sz w:val="32"/>
          <w:szCs w:val="32"/>
        </w:rPr>
      </w:pPr>
      <w:r>
        <w:rPr>
          <w:rFonts w:hint="eastAsia" w:ascii="仿宋" w:hAnsi="仿宋" w:eastAsia="仿宋"/>
          <w:sz w:val="32"/>
          <w:szCs w:val="32"/>
        </w:rPr>
        <w:t>2、报价人报价所选用的产品应稳定可靠。且在实例中证明是先进可靠的，能保证满足长周期的稳定运行。</w:t>
      </w:r>
    </w:p>
    <w:p>
      <w:pPr>
        <w:spacing w:line="600" w:lineRule="exact"/>
        <w:ind w:firstLine="645"/>
        <w:rPr>
          <w:rFonts w:ascii="仿宋" w:hAnsi="仿宋" w:eastAsia="仿宋"/>
          <w:sz w:val="32"/>
          <w:szCs w:val="32"/>
        </w:rPr>
      </w:pPr>
      <w:r>
        <w:rPr>
          <w:rFonts w:hint="eastAsia" w:ascii="仿宋" w:hAnsi="仿宋" w:eastAsia="仿宋"/>
          <w:sz w:val="32"/>
          <w:szCs w:val="32"/>
        </w:rPr>
        <w:t>3、报价人须是具有独立法人资格，具有代理相关业务的业绩</w:t>
      </w:r>
      <w:r>
        <w:rPr>
          <w:rFonts w:hint="eastAsia" w:ascii="仿宋" w:hAnsi="仿宋" w:eastAsia="仿宋"/>
          <w:sz w:val="32"/>
          <w:szCs w:val="32"/>
          <w:lang w:val="en-US" w:eastAsia="zh-CN"/>
        </w:rPr>
        <w:t>和授权证明</w:t>
      </w:r>
      <w:r>
        <w:rPr>
          <w:rFonts w:hint="eastAsia" w:ascii="仿宋" w:hAnsi="仿宋" w:eastAsia="仿宋"/>
          <w:sz w:val="32"/>
          <w:szCs w:val="32"/>
        </w:rPr>
        <w:t>，具有相应售后服务的能力。</w:t>
      </w:r>
    </w:p>
    <w:p>
      <w:pPr>
        <w:spacing w:line="600" w:lineRule="exact"/>
        <w:ind w:firstLine="645"/>
        <w:rPr>
          <w:rFonts w:ascii="仿宋" w:hAnsi="仿宋" w:eastAsia="仿宋"/>
          <w:sz w:val="32"/>
          <w:szCs w:val="32"/>
        </w:rPr>
      </w:pPr>
      <w:r>
        <w:rPr>
          <w:rFonts w:hint="eastAsia" w:ascii="仿宋" w:hAnsi="仿宋" w:eastAsia="仿宋"/>
          <w:sz w:val="32"/>
          <w:szCs w:val="32"/>
        </w:rPr>
        <w:t>4、本采购文件所引用的标准如果与报价人所执行的标准发生矛盾时，则按较严格的标准执行。</w:t>
      </w:r>
    </w:p>
    <w:p>
      <w:pPr>
        <w:spacing w:line="600" w:lineRule="exact"/>
        <w:ind w:firstLine="645"/>
        <w:rPr>
          <w:rFonts w:ascii="仿宋" w:hAnsi="仿宋" w:eastAsia="仿宋"/>
          <w:sz w:val="32"/>
          <w:szCs w:val="32"/>
        </w:rPr>
      </w:pPr>
      <w:r>
        <w:rPr>
          <w:rFonts w:hint="eastAsia" w:ascii="仿宋" w:hAnsi="仿宋" w:eastAsia="仿宋"/>
          <w:sz w:val="32"/>
          <w:szCs w:val="32"/>
        </w:rPr>
        <w:t>5、报价人不得侵犯第三方知识产权。一旦发生侵权行为，报价人承担全部法律责任和所有的经济赔偿责任，并承担由于报价人侵权无法继续执行本合约而对业主方造成的经济赔偿责任等。</w:t>
      </w:r>
    </w:p>
    <w:p>
      <w:pPr>
        <w:spacing w:line="600" w:lineRule="exact"/>
        <w:ind w:firstLine="645"/>
        <w:rPr>
          <w:rFonts w:ascii="仿宋" w:hAnsi="仿宋" w:eastAsia="仿宋"/>
          <w:sz w:val="32"/>
          <w:szCs w:val="32"/>
        </w:rPr>
      </w:pPr>
      <w:r>
        <w:rPr>
          <w:rFonts w:hint="eastAsia" w:ascii="仿宋" w:hAnsi="仿宋" w:eastAsia="仿宋"/>
          <w:sz w:val="32"/>
          <w:szCs w:val="32"/>
        </w:rPr>
        <w:t>6、本仪器采购过程中，仪器如若出现问题，报价人需免费更换或调整维修。</w:t>
      </w:r>
    </w:p>
    <w:p>
      <w:pPr>
        <w:spacing w:line="600" w:lineRule="exact"/>
        <w:ind w:firstLine="645"/>
        <w:rPr>
          <w:rFonts w:ascii="仿宋" w:hAnsi="仿宋" w:eastAsia="仿宋"/>
          <w:sz w:val="32"/>
          <w:szCs w:val="32"/>
        </w:rPr>
      </w:pPr>
      <w:r>
        <w:rPr>
          <w:rFonts w:hint="eastAsia" w:ascii="仿宋" w:hAnsi="仿宋" w:eastAsia="仿宋"/>
          <w:sz w:val="32"/>
          <w:szCs w:val="32"/>
        </w:rPr>
        <w:t>7、报价人所提供产品必须符合本用户需求书中所描述的产品要求，并列明详细的参数。所提供的货物必须是原厂生产的、全新的、未使用过的，并完全符合原厂质量检测标准和国家相关标准、行业标准。</w:t>
      </w:r>
    </w:p>
    <w:p>
      <w:pPr>
        <w:spacing w:line="600" w:lineRule="exact"/>
        <w:ind w:firstLine="645"/>
        <w:rPr>
          <w:rFonts w:ascii="仿宋" w:hAnsi="仿宋" w:eastAsia="仿宋"/>
          <w:b/>
          <w:bCs/>
          <w:sz w:val="32"/>
          <w:szCs w:val="32"/>
        </w:rPr>
      </w:pPr>
      <w:r>
        <w:rPr>
          <w:rFonts w:hint="eastAsia" w:ascii="仿宋" w:hAnsi="仿宋" w:eastAsia="仿宋"/>
          <w:b/>
          <w:bCs/>
          <w:sz w:val="32"/>
          <w:szCs w:val="32"/>
        </w:rPr>
        <w:t>（五）验收要求</w:t>
      </w:r>
    </w:p>
    <w:p>
      <w:pPr>
        <w:pStyle w:val="2"/>
        <w:ind w:left="0" w:leftChars="0" w:firstLine="640" w:firstLineChars="200"/>
        <w:rPr>
          <w:rFonts w:ascii="仿宋" w:hAnsi="仿宋" w:eastAsia="仿宋"/>
          <w:sz w:val="32"/>
          <w:szCs w:val="32"/>
        </w:rPr>
      </w:pPr>
      <w:r>
        <w:rPr>
          <w:rFonts w:hint="eastAsia" w:ascii="仿宋" w:hAnsi="仿宋" w:eastAsia="仿宋"/>
          <w:sz w:val="32"/>
          <w:szCs w:val="32"/>
        </w:rPr>
        <w:t>1、根据报价人的报价承诺及行业标准、国家标准验收。所有仪器的品牌、型号、数量与报价人报价文件一致；所有仪器能正常工作，其功能、性能、参数达到报价文件上技术指标要求。</w:t>
      </w:r>
    </w:p>
    <w:p>
      <w:pPr>
        <w:pStyle w:val="2"/>
        <w:ind w:left="0" w:leftChars="0" w:firstLine="640" w:firstLineChars="200"/>
        <w:rPr>
          <w:rFonts w:ascii="仿宋" w:hAnsi="仿宋" w:eastAsia="仿宋"/>
          <w:sz w:val="32"/>
          <w:szCs w:val="32"/>
        </w:rPr>
      </w:pPr>
      <w:r>
        <w:rPr>
          <w:rFonts w:hint="eastAsia" w:ascii="仿宋" w:hAnsi="仿宋" w:eastAsia="仿宋"/>
          <w:sz w:val="32"/>
          <w:szCs w:val="32"/>
        </w:rPr>
        <w:t>2、报价人必须按照本技术文件第5部分仪器设备采购清单中的检定/校准要求，委托具有CNAS认可资质的法定计量检定技术机构，对需要检定/校准的仪器设备进行检定/校准，并出具检定/校准证书原件。</w:t>
      </w:r>
    </w:p>
    <w:p>
      <w:pPr>
        <w:pStyle w:val="2"/>
        <w:ind w:left="0" w:leftChars="0" w:firstLine="640" w:firstLineChars="200"/>
        <w:rPr>
          <w:rFonts w:ascii="仿宋" w:hAnsi="仿宋" w:eastAsia="仿宋"/>
          <w:sz w:val="32"/>
          <w:szCs w:val="32"/>
        </w:rPr>
      </w:pPr>
      <w:r>
        <w:rPr>
          <w:rFonts w:hint="eastAsia" w:ascii="仿宋" w:hAnsi="仿宋" w:eastAsia="仿宋"/>
          <w:sz w:val="32"/>
          <w:szCs w:val="32"/>
        </w:rPr>
        <w:t>3、报价人需提供中文操作指引、出厂合格证明和仪器安装调试验收合格报告或证明，进口仪器设备必须提供生产厂家授权书、售后服务承诺书、中文参数证明函。采购人如发现报价人所提供的设备和材料低于合同规定的标准时，有权要求报价人进行更换，费用由报价人自负。</w:t>
      </w:r>
    </w:p>
    <w:p>
      <w:pPr>
        <w:pStyle w:val="2"/>
        <w:rPr>
          <w:rFonts w:ascii="仿宋" w:hAnsi="仿宋" w:eastAsia="仿宋"/>
          <w:b/>
          <w:bCs/>
          <w:sz w:val="32"/>
          <w:szCs w:val="32"/>
        </w:rPr>
      </w:pPr>
      <w:r>
        <w:rPr>
          <w:rFonts w:hint="eastAsia" w:ascii="仿宋" w:hAnsi="仿宋" w:eastAsia="仿宋"/>
          <w:b/>
          <w:bCs/>
          <w:sz w:val="32"/>
          <w:szCs w:val="32"/>
        </w:rPr>
        <w:t>（六）售后服务及培训要求</w:t>
      </w:r>
    </w:p>
    <w:p>
      <w:pPr>
        <w:pStyle w:val="2"/>
        <w:rPr>
          <w:rFonts w:ascii="仿宋" w:hAnsi="仿宋" w:eastAsia="仿宋"/>
          <w:sz w:val="32"/>
          <w:szCs w:val="32"/>
        </w:rPr>
      </w:pPr>
      <w:r>
        <w:rPr>
          <w:rFonts w:hint="eastAsia" w:ascii="仿宋" w:hAnsi="仿宋" w:eastAsia="仿宋"/>
          <w:sz w:val="32"/>
          <w:szCs w:val="32"/>
        </w:rPr>
        <w:t>1、报价人需拥有稳定的售后服务体系，能提供良好的售后服务，在保修期内，报价人须提供可随时上门进行维修及检测服务的工程师。</w:t>
      </w:r>
    </w:p>
    <w:p>
      <w:pPr>
        <w:pStyle w:val="2"/>
        <w:rPr>
          <w:rFonts w:ascii="仿宋" w:hAnsi="仿宋" w:eastAsia="仿宋"/>
          <w:sz w:val="32"/>
          <w:szCs w:val="32"/>
        </w:rPr>
      </w:pPr>
      <w:r>
        <w:rPr>
          <w:rFonts w:hint="eastAsia" w:ascii="仿宋" w:hAnsi="仿宋" w:eastAsia="仿宋"/>
          <w:sz w:val="32"/>
          <w:szCs w:val="32"/>
        </w:rPr>
        <w:t>2、提供货物免费安装、调试、培训使用；24小时免费提供技术支持；永久性免费提供电话技术指导和咨询服务；提供长期上门维修服务，免费对产品软件进行升级（如有）；定期进行设备免费检查（人为因素、自然因素（如火灾、雷击等）造成的故障除外）。</w:t>
      </w:r>
    </w:p>
    <w:p>
      <w:pPr>
        <w:pStyle w:val="2"/>
        <w:rPr>
          <w:rFonts w:ascii="仿宋" w:hAnsi="仿宋" w:eastAsia="仿宋"/>
          <w:sz w:val="32"/>
          <w:szCs w:val="32"/>
        </w:rPr>
      </w:pPr>
      <w:r>
        <w:rPr>
          <w:rFonts w:hint="eastAsia" w:ascii="仿宋" w:hAnsi="仿宋" w:eastAsia="仿宋"/>
          <w:sz w:val="32"/>
          <w:szCs w:val="32"/>
        </w:rPr>
        <w:t>3、设备有故障通知</w:t>
      </w:r>
      <w:r>
        <w:rPr>
          <w:rFonts w:hint="eastAsia" w:ascii="仿宋" w:hAnsi="仿宋" w:eastAsia="仿宋"/>
          <w:sz w:val="32"/>
          <w:szCs w:val="32"/>
          <w:lang w:val="en-US" w:eastAsia="zh-CN"/>
        </w:rPr>
        <w:t>成交</w:t>
      </w:r>
      <w:r>
        <w:rPr>
          <w:rFonts w:hint="eastAsia" w:ascii="仿宋" w:hAnsi="仿宋" w:eastAsia="仿宋"/>
          <w:sz w:val="32"/>
          <w:szCs w:val="32"/>
        </w:rPr>
        <w:t>人，</w:t>
      </w:r>
      <w:r>
        <w:rPr>
          <w:rFonts w:hint="eastAsia" w:ascii="仿宋" w:hAnsi="仿宋" w:eastAsia="仿宋"/>
          <w:sz w:val="32"/>
          <w:szCs w:val="32"/>
          <w:lang w:val="en-US" w:eastAsia="zh-CN"/>
        </w:rPr>
        <w:t>成交</w:t>
      </w:r>
      <w:r>
        <w:rPr>
          <w:rFonts w:hint="eastAsia" w:ascii="仿宋" w:hAnsi="仿宋" w:eastAsia="仿宋"/>
          <w:sz w:val="32"/>
          <w:szCs w:val="32"/>
        </w:rPr>
        <w:t>人须在60分钟内响应、48小时内到达现场，如设备故障检修当天内无法排除故障，须在三天内提供不低于故障设备规格、型号、性能的备用设备替代故障设备，或无偿提供代检测服务，直至故障设备修复。</w:t>
      </w:r>
    </w:p>
    <w:p>
      <w:pPr>
        <w:pStyle w:val="2"/>
        <w:rPr>
          <w:rFonts w:ascii="仿宋" w:hAnsi="仿宋" w:eastAsia="仿宋"/>
          <w:sz w:val="32"/>
          <w:szCs w:val="32"/>
        </w:rPr>
      </w:pPr>
      <w:r>
        <w:rPr>
          <w:rFonts w:hint="eastAsia" w:ascii="仿宋" w:hAnsi="仿宋" w:eastAsia="仿宋"/>
          <w:sz w:val="32"/>
          <w:szCs w:val="32"/>
        </w:rPr>
        <w:t>4、培训:免费提供产品的安装，调试及使用培训服务，确保采购人使用人员能够对本次采购产品有足够的了解，能够独立进行日常操作、管理和维护，培训人数不限，进口仪器现场培训时间不低于3天，外出免费培训名额不少于2个（每台大型仪器）。仪器设备验收后1年内至少1 次到采购人处进行免费维护、保养；对需要软件升级的，应免费提供升级。</w:t>
      </w:r>
    </w:p>
    <w:p>
      <w:pPr>
        <w:spacing w:line="360" w:lineRule="auto"/>
        <w:ind w:firstLine="643" w:firstLineChars="200"/>
        <w:outlineLvl w:val="1"/>
        <w:rPr>
          <w:rFonts w:ascii="仿宋" w:hAnsi="仿宋" w:eastAsia="仿宋"/>
          <w:b/>
          <w:bCs/>
          <w:sz w:val="32"/>
          <w:szCs w:val="32"/>
          <w:highlight w:val="yellow"/>
        </w:rPr>
      </w:pPr>
      <w:r>
        <w:rPr>
          <w:rFonts w:hint="eastAsia" w:ascii="仿宋" w:hAnsi="仿宋" w:eastAsia="仿宋"/>
          <w:b/>
          <w:bCs/>
          <w:sz w:val="32"/>
          <w:szCs w:val="32"/>
        </w:rPr>
        <w:t>（七）其他要求</w:t>
      </w:r>
    </w:p>
    <w:p>
      <w:pPr>
        <w:pStyle w:val="9"/>
        <w:adjustRightInd w:val="0"/>
        <w:snapToGrid w:val="0"/>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1、报价人须对本项目采购标的进行整体响应，任何只对采购标的其中一部分内容进行的响应都被视为无效报价。</w:t>
      </w:r>
    </w:p>
    <w:p>
      <w:pPr>
        <w:pStyle w:val="9"/>
        <w:adjustRightInd w:val="0"/>
        <w:snapToGrid w:val="0"/>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2、技术规格书中打“★”号条款为实质性条款，有任何一条负偏离则导致无效报价（主要技术参数“★”号条款以制造商公开发布的印刷资料或制造商出具的技术参数证明（加盖</w:t>
      </w:r>
      <w:r>
        <w:rPr>
          <w:rFonts w:hint="eastAsia" w:ascii="仿宋" w:hAnsi="仿宋" w:eastAsia="仿宋" w:cs="Times New Roman"/>
          <w:sz w:val="32"/>
          <w:szCs w:val="32"/>
          <w:lang w:val="en-US" w:eastAsia="zh-CN"/>
        </w:rPr>
        <w:t>报价</w:t>
      </w:r>
      <w:r>
        <w:rPr>
          <w:rFonts w:hint="eastAsia" w:ascii="仿宋" w:hAnsi="仿宋" w:eastAsia="仿宋" w:cs="Times New Roman"/>
          <w:sz w:val="32"/>
          <w:szCs w:val="32"/>
        </w:rPr>
        <w:t>人公章）为准）。</w:t>
      </w:r>
    </w:p>
    <w:p>
      <w:pPr>
        <w:pStyle w:val="9"/>
        <w:adjustRightInd w:val="0"/>
        <w:snapToGrid w:val="0"/>
        <w:spacing w:line="360" w:lineRule="auto"/>
        <w:ind w:firstLine="640" w:firstLineChars="200"/>
        <w:rPr>
          <w:rFonts w:ascii="仿宋" w:hAnsi="仿宋" w:eastAsia="仿宋" w:cs="Times New Roman"/>
          <w:sz w:val="32"/>
          <w:szCs w:val="32"/>
        </w:rPr>
      </w:pPr>
      <w:r>
        <w:rPr>
          <w:rFonts w:hint="eastAsia" w:ascii="仿宋" w:hAnsi="仿宋" w:eastAsia="仿宋" w:cs="Times New Roman"/>
          <w:sz w:val="32"/>
          <w:szCs w:val="32"/>
        </w:rPr>
        <w:t>3、技术规格书中打“▲”号条款为重要技术参数，但不作为无效报价条款。</w:t>
      </w:r>
    </w:p>
    <w:p>
      <w:pPr>
        <w:spacing w:line="360" w:lineRule="auto"/>
        <w:outlineLvl w:val="1"/>
        <w:rPr>
          <w:rFonts w:ascii="仿宋" w:hAnsi="仿宋" w:eastAsia="仿宋"/>
          <w:b/>
          <w:bCs/>
          <w:sz w:val="32"/>
          <w:szCs w:val="32"/>
        </w:rPr>
      </w:pPr>
      <w:r>
        <w:rPr>
          <w:rFonts w:hint="eastAsia"/>
        </w:rPr>
        <w:t xml:space="preserve"> </w:t>
      </w:r>
      <w:r>
        <w:t xml:space="preserve">    </w:t>
      </w:r>
      <w:r>
        <w:rPr>
          <w:rFonts w:hint="eastAsia" w:ascii="仿宋" w:hAnsi="仿宋" w:eastAsia="仿宋"/>
          <w:b/>
          <w:bCs/>
          <w:sz w:val="32"/>
          <w:szCs w:val="32"/>
        </w:rPr>
        <w:t>五、交货方式和地点</w:t>
      </w:r>
    </w:p>
    <w:p>
      <w:pPr>
        <w:spacing w:line="360" w:lineRule="auto"/>
        <w:ind w:firstLine="640" w:firstLineChars="200"/>
        <w:rPr>
          <w:rFonts w:ascii="仿宋" w:hAnsi="仿宋" w:eastAsia="仿宋"/>
          <w:sz w:val="32"/>
          <w:szCs w:val="32"/>
        </w:rPr>
      </w:pPr>
      <w:r>
        <w:rPr>
          <w:rFonts w:hint="eastAsia" w:ascii="仿宋" w:hAnsi="仿宋" w:eastAsia="仿宋"/>
          <w:sz w:val="32"/>
          <w:szCs w:val="32"/>
        </w:rPr>
        <w:t>1、交货方式：报价人</w:t>
      </w:r>
      <w:r>
        <w:rPr>
          <w:rFonts w:ascii="仿宋" w:hAnsi="仿宋" w:eastAsia="仿宋"/>
          <w:sz w:val="32"/>
          <w:szCs w:val="32"/>
        </w:rPr>
        <w:t>送货至</w:t>
      </w:r>
      <w:r>
        <w:rPr>
          <w:rFonts w:hint="eastAsia" w:ascii="仿宋" w:hAnsi="仿宋" w:eastAsia="仿宋"/>
          <w:sz w:val="32"/>
          <w:szCs w:val="32"/>
        </w:rPr>
        <w:t>采购</w:t>
      </w:r>
      <w:r>
        <w:rPr>
          <w:rFonts w:ascii="仿宋" w:hAnsi="仿宋" w:eastAsia="仿宋"/>
          <w:sz w:val="32"/>
          <w:szCs w:val="32"/>
        </w:rPr>
        <w:t>人指定地点</w:t>
      </w:r>
      <w:r>
        <w:rPr>
          <w:rFonts w:hint="eastAsia" w:ascii="仿宋" w:hAnsi="仿宋" w:eastAsia="仿宋"/>
          <w:sz w:val="32"/>
          <w:szCs w:val="32"/>
        </w:rPr>
        <w:t>。</w:t>
      </w:r>
    </w:p>
    <w:p>
      <w:pPr>
        <w:spacing w:line="360" w:lineRule="auto"/>
        <w:ind w:firstLine="640" w:firstLineChars="200"/>
        <w:rPr>
          <w:rFonts w:ascii="仿宋" w:hAnsi="仿宋" w:eastAsia="仿宋"/>
          <w:sz w:val="32"/>
          <w:szCs w:val="32"/>
        </w:rPr>
      </w:pPr>
      <w:r>
        <w:rPr>
          <w:rFonts w:hint="eastAsia" w:ascii="仿宋" w:hAnsi="仿宋" w:eastAsia="仿宋"/>
          <w:sz w:val="32"/>
          <w:szCs w:val="32"/>
        </w:rPr>
        <w:t>2、交货地点：东莞市麻涌镇大步村海心沙岛检测中心大楼。</w:t>
      </w:r>
    </w:p>
    <w:p>
      <w:pPr>
        <w:pStyle w:val="2"/>
        <w:ind w:left="0" w:leftChars="0" w:firstLine="643" w:firstLineChars="200"/>
        <w:rPr>
          <w:rFonts w:ascii="仿宋" w:hAnsi="仿宋" w:eastAsia="仿宋"/>
          <w:sz w:val="32"/>
          <w:szCs w:val="32"/>
        </w:rPr>
      </w:pPr>
      <w:r>
        <w:rPr>
          <w:rFonts w:hint="eastAsia" w:ascii="仿宋" w:hAnsi="仿宋" w:eastAsia="仿宋"/>
          <w:b/>
          <w:bCs/>
          <w:sz w:val="32"/>
          <w:szCs w:val="32"/>
        </w:rPr>
        <w:t>六、完成时间</w:t>
      </w:r>
    </w:p>
    <w:p>
      <w:pPr>
        <w:pStyle w:val="2"/>
        <w:ind w:left="0" w:leftChars="0" w:firstLine="640" w:firstLineChars="200"/>
        <w:rPr>
          <w:rFonts w:hint="eastAsia" w:ascii="仿宋" w:hAnsi="仿宋" w:eastAsia="仿宋"/>
          <w:sz w:val="32"/>
          <w:szCs w:val="32"/>
          <w:lang w:val="en-US" w:eastAsia="zh-CN"/>
        </w:rPr>
      </w:pPr>
      <w:r>
        <w:rPr>
          <w:rFonts w:ascii="仿宋" w:hAnsi="仿宋" w:eastAsia="仿宋"/>
          <w:sz w:val="32"/>
          <w:szCs w:val="32"/>
        </w:rPr>
        <w:t>收到</w:t>
      </w:r>
      <w:r>
        <w:rPr>
          <w:rFonts w:hint="eastAsia" w:ascii="仿宋" w:hAnsi="仿宋" w:eastAsia="仿宋"/>
          <w:sz w:val="32"/>
          <w:szCs w:val="32"/>
        </w:rPr>
        <w:t>结果确认函</w:t>
      </w:r>
      <w:r>
        <w:rPr>
          <w:rFonts w:ascii="仿宋" w:hAnsi="仿宋" w:eastAsia="仿宋"/>
          <w:sz w:val="32"/>
          <w:szCs w:val="32"/>
        </w:rPr>
        <w:t>之日起</w:t>
      </w:r>
      <w:r>
        <w:rPr>
          <w:rFonts w:hint="eastAsia" w:ascii="仿宋" w:hAnsi="仿宋" w:eastAsia="仿宋"/>
          <w:sz w:val="32"/>
          <w:szCs w:val="32"/>
          <w:lang w:val="en-US" w:eastAsia="zh-CN"/>
        </w:rPr>
        <w:t>90</w:t>
      </w:r>
      <w:r>
        <w:rPr>
          <w:rFonts w:hint="eastAsia" w:ascii="仿宋" w:hAnsi="仿宋" w:eastAsia="仿宋"/>
          <w:sz w:val="32"/>
          <w:szCs w:val="32"/>
        </w:rPr>
        <w:t>个日历</w:t>
      </w:r>
      <w:r>
        <w:rPr>
          <w:rFonts w:ascii="仿宋" w:hAnsi="仿宋" w:eastAsia="仿宋"/>
          <w:sz w:val="32"/>
          <w:szCs w:val="32"/>
        </w:rPr>
        <w:t>日内完成交货和安装验收。</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七</w:t>
      </w:r>
      <w:r>
        <w:rPr>
          <w:rFonts w:ascii="仿宋" w:hAnsi="仿宋" w:eastAsia="仿宋"/>
          <w:b/>
          <w:bCs/>
          <w:sz w:val="32"/>
          <w:szCs w:val="32"/>
        </w:rPr>
        <w:t>、支付方式</w:t>
      </w:r>
    </w:p>
    <w:p>
      <w:pPr>
        <w:spacing w:line="360" w:lineRule="auto"/>
        <w:ind w:firstLine="640" w:firstLineChars="200"/>
        <w:rPr>
          <w:rFonts w:ascii="仿宋" w:hAnsi="仿宋" w:eastAsia="仿宋"/>
          <w:sz w:val="32"/>
          <w:szCs w:val="32"/>
        </w:rPr>
      </w:pPr>
      <w:r>
        <w:rPr>
          <w:rFonts w:hint="eastAsia" w:ascii="仿宋" w:hAnsi="仿宋" w:eastAsia="仿宋"/>
          <w:sz w:val="32"/>
          <w:szCs w:val="32"/>
        </w:rPr>
        <w:t>1、成交人在合同签订之日起10天内，向采购人提交金额为本合同总价5%的不可撤销银行履约保函或履约保证金作为履行合同的担保。</w:t>
      </w:r>
    </w:p>
    <w:p>
      <w:pPr>
        <w:spacing w:line="360" w:lineRule="auto"/>
        <w:ind w:firstLine="640" w:firstLineChars="200"/>
        <w:rPr>
          <w:rFonts w:ascii="仿宋" w:hAnsi="仿宋" w:eastAsia="仿宋"/>
          <w:sz w:val="32"/>
          <w:szCs w:val="32"/>
        </w:rPr>
      </w:pPr>
      <w:r>
        <w:rPr>
          <w:rFonts w:hint="eastAsia" w:ascii="仿宋" w:hAnsi="仿宋" w:eastAsia="仿宋"/>
          <w:sz w:val="32"/>
          <w:szCs w:val="32"/>
        </w:rPr>
        <w:t>2、合同签订后30个日历日内，采购人在收到成交人有效请款资料及等额有效增值税专用发票后向成交人支付合同总额的20%作为定金；</w:t>
      </w:r>
    </w:p>
    <w:p>
      <w:pPr>
        <w:spacing w:line="360" w:lineRule="auto"/>
        <w:ind w:firstLine="640" w:firstLineChars="200"/>
        <w:rPr>
          <w:rFonts w:ascii="仿宋" w:hAnsi="仿宋" w:eastAsia="仿宋"/>
          <w:sz w:val="32"/>
          <w:szCs w:val="32"/>
        </w:rPr>
      </w:pPr>
      <w:r>
        <w:rPr>
          <w:rFonts w:hint="eastAsia" w:ascii="仿宋" w:hAnsi="仿宋" w:eastAsia="仿宋"/>
          <w:sz w:val="32"/>
          <w:szCs w:val="32"/>
        </w:rPr>
        <w:t>3、所有货物到达并完成安装调试，经采购人验收合格后，采购人在收到成交人有效请款资料及等额有效增值税专用发票30个日历日内向成交人支付</w:t>
      </w:r>
      <w:r>
        <w:rPr>
          <w:rFonts w:hint="eastAsia" w:ascii="仿宋" w:hAnsi="仿宋" w:eastAsia="仿宋"/>
          <w:sz w:val="32"/>
          <w:szCs w:val="32"/>
          <w:lang w:val="en-US" w:eastAsia="zh-CN"/>
        </w:rPr>
        <w:t>至</w:t>
      </w:r>
      <w:r>
        <w:rPr>
          <w:rFonts w:hint="eastAsia" w:ascii="仿宋" w:hAnsi="仿宋" w:eastAsia="仿宋"/>
          <w:sz w:val="32"/>
          <w:szCs w:val="32"/>
        </w:rPr>
        <w:t>合同总额的95%；</w:t>
      </w:r>
    </w:p>
    <w:p>
      <w:pPr>
        <w:spacing w:line="360" w:lineRule="auto"/>
        <w:ind w:firstLine="640" w:firstLineChars="200"/>
        <w:rPr>
          <w:rFonts w:ascii="仿宋" w:hAnsi="仿宋" w:eastAsia="仿宋"/>
          <w:sz w:val="32"/>
          <w:szCs w:val="32"/>
        </w:rPr>
      </w:pPr>
      <w:r>
        <w:rPr>
          <w:rFonts w:hint="eastAsia" w:ascii="仿宋" w:hAnsi="仿宋" w:eastAsia="仿宋"/>
          <w:sz w:val="32"/>
          <w:szCs w:val="32"/>
        </w:rPr>
        <w:t>4、剩余合同总额</w:t>
      </w:r>
      <w:r>
        <w:rPr>
          <w:rFonts w:ascii="仿宋" w:hAnsi="仿宋" w:eastAsia="仿宋"/>
          <w:sz w:val="32"/>
          <w:szCs w:val="32"/>
        </w:rPr>
        <w:t>5%</w:t>
      </w:r>
      <w:r>
        <w:rPr>
          <w:rFonts w:hint="eastAsia" w:ascii="仿宋" w:hAnsi="仿宋" w:eastAsia="仿宋"/>
          <w:sz w:val="32"/>
          <w:szCs w:val="32"/>
        </w:rPr>
        <w:t>作为质保金，在本项目验收合格满一年后，采购人在收到成交人有效请款资料及等额有效增值税专用发票的30个日历日内无息退还质保金。</w:t>
      </w:r>
    </w:p>
    <w:p>
      <w:pPr>
        <w:ind w:firstLine="640" w:firstLineChars="200"/>
        <w:rPr>
          <w:rFonts w:ascii="仿宋" w:hAnsi="仿宋" w:eastAsia="仿宋"/>
          <w:sz w:val="32"/>
          <w:szCs w:val="32"/>
        </w:rPr>
      </w:pPr>
      <w:r>
        <w:rPr>
          <w:rFonts w:eastAsia="仿宋"/>
          <w:sz w:val="32"/>
          <w:szCs w:val="32"/>
        </w:rPr>
        <w:t>成交人在</w:t>
      </w:r>
      <w:r>
        <w:rPr>
          <w:rFonts w:hint="eastAsia" w:eastAsia="仿宋"/>
          <w:sz w:val="32"/>
          <w:szCs w:val="32"/>
        </w:rPr>
        <w:t>合同签订后</w:t>
      </w:r>
      <w:r>
        <w:rPr>
          <w:rFonts w:eastAsia="仿宋"/>
          <w:sz w:val="32"/>
          <w:szCs w:val="32"/>
        </w:rPr>
        <w:t>缴存的</w:t>
      </w:r>
      <w:r>
        <w:rPr>
          <w:rFonts w:hint="eastAsia" w:eastAsia="仿宋"/>
          <w:sz w:val="32"/>
          <w:szCs w:val="32"/>
        </w:rPr>
        <w:t>履约保证金返还申请时间为验收合格之日后（除质保验收外的最后一个验收节点），</w:t>
      </w:r>
      <w:r>
        <w:rPr>
          <w:rFonts w:eastAsia="仿宋"/>
          <w:sz w:val="32"/>
          <w:szCs w:val="32"/>
        </w:rPr>
        <w:t>成交人</w:t>
      </w:r>
      <w:r>
        <w:rPr>
          <w:rFonts w:hint="eastAsia" w:eastAsia="仿宋"/>
          <w:sz w:val="32"/>
          <w:szCs w:val="32"/>
        </w:rPr>
        <w:t>没有任何违约的情况下由成交人提交退款申请，收到</w:t>
      </w:r>
      <w:r>
        <w:rPr>
          <w:rFonts w:eastAsia="仿宋"/>
          <w:sz w:val="32"/>
          <w:szCs w:val="32"/>
        </w:rPr>
        <w:t>成交人</w:t>
      </w:r>
      <w:r>
        <w:rPr>
          <w:rFonts w:hint="eastAsia" w:eastAsia="仿宋"/>
          <w:sz w:val="32"/>
          <w:szCs w:val="32"/>
        </w:rPr>
        <w:t>申请后30个日历日内，采购人一次性无息退回。</w:t>
      </w:r>
    </w:p>
    <w:p>
      <w:pPr>
        <w:spacing w:line="360" w:lineRule="auto"/>
        <w:ind w:firstLine="640" w:firstLineChars="200"/>
        <w:outlineLvl w:val="1"/>
        <w:rPr>
          <w:rFonts w:ascii="仿宋" w:hAnsi="仿宋" w:eastAsia="仿宋"/>
          <w:b/>
          <w:bCs/>
          <w:sz w:val="32"/>
          <w:szCs w:val="32"/>
        </w:rPr>
      </w:pPr>
      <w:r>
        <w:rPr>
          <w:rFonts w:hint="eastAsia" w:ascii="仿宋" w:hAnsi="仿宋" w:eastAsia="仿宋"/>
          <w:sz w:val="32"/>
          <w:szCs w:val="32"/>
        </w:rPr>
        <w:sym w:font="Wingdings" w:char="00AB"/>
      </w:r>
      <w:r>
        <w:rPr>
          <w:rFonts w:hint="eastAsia" w:ascii="仿宋" w:hAnsi="仿宋" w:eastAsia="仿宋"/>
          <w:b/>
          <w:bCs/>
          <w:sz w:val="32"/>
          <w:szCs w:val="32"/>
        </w:rPr>
        <w:t>八</w:t>
      </w:r>
      <w:r>
        <w:rPr>
          <w:rFonts w:ascii="仿宋" w:hAnsi="仿宋" w:eastAsia="仿宋"/>
          <w:b/>
          <w:bCs/>
          <w:sz w:val="32"/>
          <w:szCs w:val="32"/>
        </w:rPr>
        <w:t>、报价</w:t>
      </w:r>
    </w:p>
    <w:p>
      <w:pPr>
        <w:spacing w:line="360" w:lineRule="auto"/>
        <w:ind w:firstLine="640" w:firstLineChars="200"/>
        <w:outlineLvl w:val="1"/>
        <w:rPr>
          <w:szCs w:val="21"/>
        </w:rPr>
      </w:pPr>
      <w:r>
        <w:rPr>
          <w:rFonts w:hint="eastAsia" w:ascii="仿宋" w:hAnsi="仿宋" w:eastAsia="仿宋"/>
          <w:sz w:val="32"/>
          <w:szCs w:val="32"/>
        </w:rPr>
        <w:t>采购限</w:t>
      </w:r>
      <w:r>
        <w:rPr>
          <w:rFonts w:hint="eastAsia" w:eastAsia="仿宋"/>
          <w:sz w:val="32"/>
          <w:szCs w:val="32"/>
        </w:rPr>
        <w:t>价：</w:t>
      </w:r>
      <w:r>
        <w:rPr>
          <w:rFonts w:eastAsia="仿宋"/>
          <w:sz w:val="32"/>
          <w:szCs w:val="32"/>
        </w:rPr>
        <w:t>¥</w:t>
      </w:r>
      <w:r>
        <w:rPr>
          <w:rFonts w:hint="eastAsia" w:eastAsia="仿宋"/>
          <w:sz w:val="32"/>
          <w:szCs w:val="32"/>
          <w:lang w:val="en-US" w:eastAsia="zh-CN"/>
        </w:rPr>
        <w:t>280,000</w:t>
      </w:r>
      <w:r>
        <w:rPr>
          <w:rFonts w:eastAsia="仿宋"/>
          <w:sz w:val="32"/>
          <w:szCs w:val="32"/>
        </w:rPr>
        <w:t>.00</w:t>
      </w:r>
      <w:r>
        <w:rPr>
          <w:rFonts w:hint="eastAsia" w:eastAsia="仿宋"/>
          <w:sz w:val="32"/>
          <w:szCs w:val="32"/>
        </w:rPr>
        <w:t>元</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本项目为</w:t>
      </w:r>
      <w:bookmarkStart w:id="1" w:name="_Hlk38315765"/>
      <w:r>
        <w:rPr>
          <w:rFonts w:hint="eastAsia" w:ascii="仿宋" w:hAnsi="仿宋" w:eastAsia="仿宋"/>
          <w:sz w:val="32"/>
          <w:szCs w:val="32"/>
        </w:rPr>
        <w:t>固定总价包干，</w:t>
      </w:r>
      <w:r>
        <w:rPr>
          <w:rFonts w:ascii="仿宋" w:hAnsi="仿宋" w:eastAsia="仿宋"/>
          <w:sz w:val="32"/>
          <w:szCs w:val="32"/>
        </w:rPr>
        <w:t>包干</w:t>
      </w:r>
      <w:r>
        <w:rPr>
          <w:rFonts w:hint="eastAsia" w:ascii="仿宋" w:hAnsi="仿宋" w:eastAsia="仿宋"/>
          <w:sz w:val="32"/>
          <w:szCs w:val="32"/>
        </w:rPr>
        <w:t>总价</w:t>
      </w:r>
      <w:r>
        <w:rPr>
          <w:rFonts w:ascii="仿宋" w:hAnsi="仿宋" w:eastAsia="仿宋"/>
          <w:sz w:val="32"/>
          <w:szCs w:val="32"/>
        </w:rPr>
        <w:t>报价包</w:t>
      </w:r>
      <w:r>
        <w:rPr>
          <w:rFonts w:hint="eastAsia" w:ascii="仿宋" w:hAnsi="仿宋" w:eastAsia="仿宋"/>
          <w:sz w:val="32"/>
          <w:szCs w:val="32"/>
        </w:rPr>
        <w:t>含仪器设备需求清单中的实验仪器采购、保管、运输、安装、调试、操作技术指导及相应的售后服务工作</w:t>
      </w:r>
      <w:r>
        <w:rPr>
          <w:rFonts w:ascii="仿宋" w:hAnsi="仿宋" w:eastAsia="仿宋"/>
          <w:sz w:val="32"/>
          <w:szCs w:val="32"/>
        </w:rPr>
        <w:t>等为满足项目实施可能产生的费用，结算时不做调整</w:t>
      </w:r>
      <w:r>
        <w:rPr>
          <w:rFonts w:hint="eastAsia" w:ascii="仿宋" w:hAnsi="仿宋" w:eastAsia="仿宋"/>
          <w:sz w:val="32"/>
          <w:szCs w:val="32"/>
        </w:rPr>
        <w:t>。</w:t>
      </w:r>
      <w:bookmarkEnd w:id="1"/>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若报价人对某些项目未报价，则应认为已包括在其它项目的单价和合价以及总报价内。</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报价人所报价格不得高于采购限价</w:t>
      </w:r>
      <w:r>
        <w:rPr>
          <w:rFonts w:hint="eastAsia" w:ascii="仿宋" w:hAnsi="仿宋" w:eastAsia="仿宋"/>
          <w:sz w:val="32"/>
          <w:szCs w:val="32"/>
        </w:rPr>
        <w:t>。</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九</w:t>
      </w:r>
      <w:r>
        <w:rPr>
          <w:rFonts w:ascii="仿宋" w:hAnsi="仿宋" w:eastAsia="仿宋"/>
          <w:b/>
          <w:bCs/>
          <w:sz w:val="32"/>
          <w:szCs w:val="32"/>
        </w:rPr>
        <w:t>、定标</w:t>
      </w:r>
    </w:p>
    <w:p>
      <w:pPr>
        <w:spacing w:line="360" w:lineRule="auto"/>
        <w:ind w:firstLine="640" w:firstLineChars="200"/>
        <w:outlineLvl w:val="1"/>
        <w:rPr>
          <w:rFonts w:eastAsia="仿宋_GB2312"/>
          <w:sz w:val="32"/>
          <w:szCs w:val="32"/>
        </w:rPr>
      </w:pPr>
      <w:r>
        <w:rPr>
          <w:rFonts w:eastAsia="仿宋_GB2312"/>
          <w:sz w:val="32"/>
          <w:szCs w:val="32"/>
        </w:rPr>
        <w:t>本次项目采用询价方式进行采购，原则上以含税总价的最低报价的报价人为成交人。</w:t>
      </w:r>
    </w:p>
    <w:p>
      <w:pPr>
        <w:spacing w:line="360" w:lineRule="auto"/>
        <w:ind w:firstLine="640" w:firstLineChars="200"/>
        <w:outlineLvl w:val="1"/>
        <w:rPr>
          <w:rFonts w:eastAsia="仿宋_GB2312"/>
          <w:sz w:val="32"/>
          <w:szCs w:val="32"/>
        </w:rPr>
      </w:pPr>
      <w:r>
        <w:rPr>
          <w:rFonts w:eastAsia="仿宋_GB2312"/>
          <w:sz w:val="32"/>
          <w:szCs w:val="32"/>
        </w:rPr>
        <w:t>开标结束后由我司招标成本部将相关询价情况报我司招标采购工作小组审定，由我司招标采购工作小组定标。</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十</w:t>
      </w:r>
      <w:r>
        <w:rPr>
          <w:rFonts w:ascii="仿宋" w:hAnsi="仿宋" w:eastAsia="仿宋"/>
          <w:b/>
          <w:bCs/>
          <w:sz w:val="32"/>
          <w:szCs w:val="32"/>
        </w:rPr>
        <w:t>、采取的合同文本</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合同签订的依据为询价函、报价文件及补充说明等。确定</w:t>
      </w:r>
      <w:r>
        <w:rPr>
          <w:rFonts w:hint="eastAsia" w:ascii="仿宋" w:hAnsi="仿宋" w:eastAsia="仿宋"/>
          <w:sz w:val="32"/>
          <w:szCs w:val="32"/>
        </w:rPr>
        <w:t>成交人</w:t>
      </w:r>
      <w:r>
        <w:rPr>
          <w:rFonts w:ascii="仿宋" w:hAnsi="仿宋" w:eastAsia="仿宋"/>
          <w:sz w:val="32"/>
          <w:szCs w:val="32"/>
        </w:rPr>
        <w:t>后，</w:t>
      </w:r>
      <w:r>
        <w:rPr>
          <w:rFonts w:hint="eastAsia" w:ascii="仿宋" w:hAnsi="仿宋" w:eastAsia="仿宋"/>
          <w:sz w:val="32"/>
          <w:szCs w:val="32"/>
        </w:rPr>
        <w:t>成交人</w:t>
      </w:r>
      <w:r>
        <w:rPr>
          <w:rFonts w:ascii="仿宋" w:hAnsi="仿宋" w:eastAsia="仿宋"/>
          <w:sz w:val="32"/>
          <w:szCs w:val="32"/>
        </w:rPr>
        <w:t>在</w:t>
      </w:r>
      <w:r>
        <w:rPr>
          <w:rFonts w:hint="eastAsia" w:ascii="仿宋" w:hAnsi="仿宋" w:eastAsia="仿宋"/>
          <w:sz w:val="32"/>
          <w:szCs w:val="32"/>
        </w:rPr>
        <w:t>10</w:t>
      </w:r>
      <w:r>
        <w:rPr>
          <w:rFonts w:ascii="仿宋" w:hAnsi="仿宋" w:eastAsia="仿宋"/>
          <w:sz w:val="32"/>
          <w:szCs w:val="32"/>
        </w:rPr>
        <w:t>天内与采购人签订合同</w:t>
      </w:r>
      <w:r>
        <w:rPr>
          <w:rFonts w:hint="eastAsia" w:ascii="仿宋" w:hAnsi="仿宋" w:eastAsia="仿宋"/>
          <w:sz w:val="32"/>
          <w:szCs w:val="32"/>
        </w:rPr>
        <w:t>（详见附件合同模板）</w:t>
      </w:r>
      <w:r>
        <w:rPr>
          <w:rFonts w:ascii="仿宋" w:hAnsi="仿宋" w:eastAsia="仿宋"/>
          <w:sz w:val="32"/>
          <w:szCs w:val="32"/>
        </w:rPr>
        <w:t>。</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收款前需向采购人提供请款材料和开具合法有效等额的增值税专用发票，否则采购人有权拒绝付款。</w:t>
      </w:r>
    </w:p>
    <w:p>
      <w:pPr>
        <w:spacing w:line="360" w:lineRule="auto"/>
        <w:ind w:firstLine="640" w:firstLineChars="200"/>
        <w:outlineLvl w:val="1"/>
        <w:rPr>
          <w:rFonts w:ascii="仿宋" w:hAnsi="仿宋" w:eastAsia="仿宋"/>
          <w:b/>
          <w:bCs/>
          <w:sz w:val="32"/>
          <w:szCs w:val="32"/>
        </w:rPr>
      </w:pPr>
      <w:r>
        <w:rPr>
          <w:rFonts w:hint="eastAsia" w:ascii="仿宋" w:hAnsi="仿宋" w:eastAsia="仿宋"/>
          <w:sz w:val="32"/>
          <w:szCs w:val="32"/>
        </w:rPr>
        <w:sym w:font="Wingdings" w:char="00AB"/>
      </w:r>
      <w:r>
        <w:rPr>
          <w:rFonts w:hint="eastAsia" w:ascii="仿宋" w:hAnsi="仿宋" w:eastAsia="仿宋"/>
          <w:b/>
          <w:bCs/>
          <w:sz w:val="32"/>
          <w:szCs w:val="32"/>
        </w:rPr>
        <w:t>十一</w:t>
      </w:r>
      <w:r>
        <w:rPr>
          <w:rFonts w:ascii="仿宋" w:hAnsi="仿宋" w:eastAsia="仿宋"/>
          <w:b/>
          <w:bCs/>
          <w:sz w:val="32"/>
          <w:szCs w:val="32"/>
        </w:rPr>
        <w:t>、报价文件的组成部分</w:t>
      </w:r>
      <w:r>
        <w:rPr>
          <w:rFonts w:hint="eastAsia" w:ascii="仿宋" w:hAnsi="仿宋" w:eastAsia="仿宋"/>
          <w:b/>
          <w:bCs/>
          <w:sz w:val="32"/>
          <w:szCs w:val="32"/>
        </w:rPr>
        <w:t>（报价人提交的本项报价文件资料如有不全，则作无效报价处理）</w:t>
      </w:r>
    </w:p>
    <w:p>
      <w:pPr>
        <w:numPr>
          <w:ilvl w:val="0"/>
          <w:numId w:val="1"/>
        </w:numPr>
        <w:spacing w:line="360" w:lineRule="auto"/>
        <w:ind w:firstLine="640" w:firstLineChars="200"/>
        <w:outlineLvl w:val="1"/>
        <w:rPr>
          <w:rFonts w:ascii="仿宋" w:hAnsi="仿宋" w:eastAsia="仿宋"/>
          <w:sz w:val="32"/>
          <w:szCs w:val="32"/>
        </w:rPr>
      </w:pPr>
      <w:r>
        <w:rPr>
          <w:rFonts w:ascii="仿宋" w:hAnsi="仿宋" w:eastAsia="仿宋"/>
          <w:sz w:val="32"/>
          <w:szCs w:val="32"/>
        </w:rPr>
        <w:t>报价函（模板</w:t>
      </w:r>
      <w:r>
        <w:rPr>
          <w:rFonts w:hint="eastAsia" w:ascii="仿宋" w:hAnsi="仿宋" w:eastAsia="仿宋"/>
          <w:sz w:val="32"/>
          <w:szCs w:val="32"/>
        </w:rPr>
        <w:t>，详见附件</w:t>
      </w:r>
      <w:r>
        <w:rPr>
          <w:rFonts w:ascii="仿宋" w:hAnsi="仿宋" w:eastAsia="仿宋"/>
          <w:sz w:val="32"/>
          <w:szCs w:val="32"/>
        </w:rPr>
        <w:t>）</w:t>
      </w:r>
      <w:r>
        <w:rPr>
          <w:rFonts w:hint="eastAsia" w:ascii="仿宋" w:hAnsi="仿宋" w:eastAsia="仿宋"/>
          <w:sz w:val="32"/>
          <w:szCs w:val="32"/>
        </w:rPr>
        <w:t>及报价清单（格式自拟，必须包含本项目所有的子项报价）；</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、法人证明（模板</w:t>
      </w:r>
      <w:r>
        <w:rPr>
          <w:rFonts w:hint="eastAsia" w:ascii="仿宋" w:hAnsi="仿宋" w:eastAsia="仿宋"/>
          <w:sz w:val="32"/>
          <w:szCs w:val="32"/>
        </w:rPr>
        <w:t>，详见附件</w:t>
      </w:r>
      <w:r>
        <w:rPr>
          <w:rFonts w:ascii="仿宋" w:hAnsi="仿宋" w:eastAsia="仿宋"/>
          <w:sz w:val="32"/>
          <w:szCs w:val="32"/>
        </w:rPr>
        <w:t>）以及法人身份证复印件；</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、法人授权书（模板</w:t>
      </w:r>
      <w:r>
        <w:rPr>
          <w:rFonts w:hint="eastAsia" w:ascii="仿宋" w:hAnsi="仿宋" w:eastAsia="仿宋"/>
          <w:sz w:val="32"/>
          <w:szCs w:val="32"/>
        </w:rPr>
        <w:t>，详见附件</w:t>
      </w:r>
      <w:r>
        <w:rPr>
          <w:rFonts w:ascii="仿宋" w:hAnsi="仿宋" w:eastAsia="仿宋"/>
          <w:sz w:val="32"/>
          <w:szCs w:val="32"/>
        </w:rPr>
        <w:t>）及被委托人身份证复印件；</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4</w:t>
      </w:r>
      <w:r>
        <w:rPr>
          <w:rFonts w:ascii="仿宋" w:hAnsi="仿宋" w:eastAsia="仿宋"/>
          <w:sz w:val="32"/>
          <w:szCs w:val="32"/>
        </w:rPr>
        <w:t>、</w:t>
      </w:r>
      <w:r>
        <w:rPr>
          <w:rFonts w:hint="eastAsia" w:ascii="仿宋" w:hAnsi="仿宋" w:eastAsia="仿宋"/>
          <w:sz w:val="32"/>
          <w:szCs w:val="32"/>
        </w:rPr>
        <w:t>报价人</w:t>
      </w:r>
      <w:r>
        <w:rPr>
          <w:rFonts w:ascii="仿宋" w:hAnsi="仿宋" w:eastAsia="仿宋"/>
          <w:sz w:val="32"/>
          <w:szCs w:val="32"/>
        </w:rPr>
        <w:t>营业执照复印件；</w:t>
      </w:r>
    </w:p>
    <w:p>
      <w:pPr>
        <w:spacing w:line="360" w:lineRule="auto"/>
        <w:ind w:firstLine="640" w:firstLineChars="200"/>
        <w:outlineLvl w:val="1"/>
        <w:rPr>
          <w:rFonts w:hint="eastAsia" w:ascii="仿宋" w:hAnsi="仿宋" w:eastAsia="仿宋"/>
          <w:sz w:val="32"/>
          <w:szCs w:val="32"/>
        </w:rPr>
      </w:pPr>
      <w:r>
        <w:rPr>
          <w:rFonts w:hint="eastAsia" w:ascii="仿宋" w:hAnsi="仿宋" w:eastAsia="仿宋"/>
          <w:sz w:val="32"/>
          <w:szCs w:val="32"/>
        </w:rPr>
        <w:t>5、</w:t>
      </w:r>
      <w:r>
        <w:rPr>
          <w:rFonts w:eastAsia="仿宋"/>
          <w:sz w:val="32"/>
          <w:szCs w:val="32"/>
        </w:rPr>
        <w:t>类似项目业绩合同及发票复印件（必须附合同主要页复印件及项目任意一期发票复印件，不少于一个项目）</w:t>
      </w:r>
      <w:r>
        <w:rPr>
          <w:rFonts w:hint="eastAsia" w:ascii="仿宋" w:hAnsi="仿宋" w:eastAsia="仿宋"/>
          <w:sz w:val="32"/>
          <w:szCs w:val="32"/>
        </w:rPr>
        <w:t>；</w:t>
      </w:r>
    </w:p>
    <w:p>
      <w:pPr>
        <w:spacing w:line="360" w:lineRule="auto"/>
        <w:ind w:firstLine="640" w:firstLineChars="200"/>
        <w:outlineLvl w:val="1"/>
      </w:pPr>
      <w:r>
        <w:rPr>
          <w:rFonts w:hint="eastAsia" w:ascii="仿宋" w:hAnsi="仿宋" w:eastAsia="仿宋"/>
          <w:sz w:val="32"/>
          <w:szCs w:val="32"/>
          <w:lang w:val="en-US" w:eastAsia="zh-CN"/>
        </w:rPr>
        <w:t>6</w:t>
      </w:r>
      <w:r>
        <w:rPr>
          <w:rFonts w:hint="eastAsia" w:ascii="仿宋" w:hAnsi="仿宋" w:eastAsia="仿宋"/>
          <w:sz w:val="32"/>
          <w:szCs w:val="32"/>
        </w:rPr>
        <w:t>、</w:t>
      </w:r>
      <w:r>
        <w:rPr>
          <w:rFonts w:hint="eastAsia" w:eastAsia="仿宋"/>
          <w:sz w:val="32"/>
          <w:szCs w:val="32"/>
        </w:rPr>
        <w:t>本项目询价文件第三条资格条件要求的相关资料（加盖公章）</w:t>
      </w:r>
      <w:r>
        <w:rPr>
          <w:rFonts w:hint="eastAsia" w:ascii="仿宋" w:hAnsi="仿宋" w:eastAsia="仿宋"/>
          <w:sz w:val="32"/>
          <w:szCs w:val="32"/>
        </w:rPr>
        <w:t>；</w:t>
      </w:r>
    </w:p>
    <w:p>
      <w:pPr>
        <w:spacing w:line="360" w:lineRule="auto"/>
        <w:ind w:firstLine="640" w:firstLineChars="200"/>
        <w:outlineLvl w:val="1"/>
        <w:rPr>
          <w:rFonts w:eastAsia="仿宋"/>
          <w:sz w:val="32"/>
          <w:szCs w:val="32"/>
        </w:rPr>
      </w:pPr>
      <w:r>
        <w:rPr>
          <w:rFonts w:hint="eastAsia" w:eastAsia="仿宋"/>
          <w:sz w:val="32"/>
          <w:szCs w:val="32"/>
          <w:lang w:val="en-US" w:eastAsia="zh-CN"/>
        </w:rPr>
        <w:t>7</w:t>
      </w:r>
      <w:r>
        <w:rPr>
          <w:rFonts w:eastAsia="仿宋"/>
          <w:sz w:val="32"/>
          <w:szCs w:val="32"/>
        </w:rPr>
        <w:t>、报价保证金汇入情况说明（模板，一式二份，一份随报价文件装订，一份与汇款单单独封装提交）</w:t>
      </w:r>
      <w:r>
        <w:rPr>
          <w:rFonts w:hint="eastAsia" w:eastAsia="仿宋"/>
          <w:sz w:val="32"/>
          <w:szCs w:val="32"/>
        </w:rPr>
        <w:t>。</w:t>
      </w:r>
    </w:p>
    <w:p>
      <w:pPr>
        <w:spacing w:line="360" w:lineRule="auto"/>
        <w:ind w:firstLine="640" w:firstLineChars="200"/>
        <w:outlineLvl w:val="1"/>
        <w:rPr>
          <w:rFonts w:eastAsia="仿宋"/>
          <w:sz w:val="32"/>
          <w:szCs w:val="32"/>
        </w:rPr>
      </w:pPr>
      <w:r>
        <w:rPr>
          <w:rFonts w:hint="eastAsia" w:eastAsia="仿宋"/>
          <w:sz w:val="32"/>
          <w:szCs w:val="32"/>
          <w:lang w:val="en-US" w:eastAsia="zh-CN"/>
        </w:rPr>
        <w:t>8</w:t>
      </w:r>
      <w:r>
        <w:rPr>
          <w:rFonts w:eastAsia="仿宋"/>
          <w:sz w:val="32"/>
          <w:szCs w:val="32"/>
        </w:rPr>
        <w:t>、报价人未到场声明</w:t>
      </w:r>
      <w:r>
        <w:rPr>
          <w:rFonts w:hint="eastAsia" w:eastAsia="仿宋"/>
          <w:sz w:val="32"/>
          <w:szCs w:val="32"/>
        </w:rPr>
        <w:t>（邮寄报价必须提供，模板，详见附件）</w:t>
      </w:r>
      <w:r>
        <w:rPr>
          <w:rFonts w:eastAsia="仿宋"/>
          <w:sz w:val="32"/>
          <w:szCs w:val="32"/>
        </w:rPr>
        <w:t>。</w:t>
      </w:r>
    </w:p>
    <w:p>
      <w:pPr>
        <w:spacing w:line="360" w:lineRule="auto"/>
        <w:ind w:firstLine="640" w:firstLineChars="200"/>
        <w:outlineLvl w:val="1"/>
        <w:rPr>
          <w:rFonts w:ascii="仿宋" w:hAnsi="仿宋" w:eastAsia="仿宋"/>
          <w:b/>
          <w:sz w:val="32"/>
          <w:szCs w:val="32"/>
        </w:rPr>
      </w:pPr>
      <w:r>
        <w:rPr>
          <w:rFonts w:hint="eastAsia" w:eastAsia="仿宋"/>
          <w:sz w:val="32"/>
          <w:szCs w:val="32"/>
          <w:lang w:val="en-US" w:eastAsia="zh-CN"/>
        </w:rPr>
        <w:t>9</w:t>
      </w:r>
      <w:r>
        <w:rPr>
          <w:rFonts w:hint="eastAsia" w:ascii="仿宋" w:hAnsi="仿宋" w:eastAsia="仿宋"/>
          <w:sz w:val="32"/>
          <w:szCs w:val="32"/>
        </w:rPr>
        <w:t>、本项目询价文件要求的其他资料（如有）</w:t>
      </w:r>
      <w:r>
        <w:rPr>
          <w:rFonts w:ascii="仿宋" w:hAnsi="仿宋" w:eastAsia="仿宋"/>
          <w:sz w:val="32"/>
          <w:szCs w:val="32"/>
        </w:rPr>
        <w:t>。</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须严格按照采购人提供的表单格式报价，报价文件必须</w:t>
      </w:r>
      <w:r>
        <w:rPr>
          <w:rFonts w:ascii="仿宋" w:hAnsi="仿宋" w:eastAsia="仿宋"/>
          <w:b/>
          <w:bCs/>
          <w:sz w:val="32"/>
          <w:szCs w:val="32"/>
        </w:rPr>
        <w:t>装订完整</w:t>
      </w:r>
      <w:r>
        <w:rPr>
          <w:rFonts w:ascii="仿宋" w:hAnsi="仿宋" w:eastAsia="仿宋"/>
          <w:sz w:val="32"/>
          <w:szCs w:val="32"/>
        </w:rPr>
        <w:t>，于骑缝处加盖</w:t>
      </w:r>
      <w:r>
        <w:rPr>
          <w:rFonts w:hint="eastAsia" w:ascii="仿宋" w:hAnsi="仿宋" w:eastAsia="仿宋"/>
          <w:sz w:val="32"/>
          <w:szCs w:val="32"/>
        </w:rPr>
        <w:t>报价</w:t>
      </w:r>
      <w:r>
        <w:rPr>
          <w:rFonts w:ascii="仿宋" w:hAnsi="仿宋" w:eastAsia="仿宋"/>
          <w:sz w:val="32"/>
          <w:szCs w:val="32"/>
        </w:rPr>
        <w:t>单位企业公章。装有报价文件的文件袋须贴有密封条，并于骑缝处加盖企业公章。</w:t>
      </w:r>
    </w:p>
    <w:p>
      <w:pPr>
        <w:spacing w:line="360" w:lineRule="auto"/>
        <w:ind w:firstLine="643" w:firstLineChars="200"/>
        <w:outlineLvl w:val="1"/>
        <w:rPr>
          <w:rFonts w:ascii="仿宋" w:hAnsi="仿宋" w:eastAsia="仿宋"/>
          <w:b/>
          <w:bCs/>
          <w:sz w:val="32"/>
          <w:szCs w:val="32"/>
        </w:rPr>
      </w:pPr>
      <w:r>
        <w:rPr>
          <w:rFonts w:ascii="仿宋" w:hAnsi="仿宋" w:eastAsia="仿宋"/>
          <w:b/>
          <w:bCs/>
          <w:sz w:val="32"/>
          <w:szCs w:val="32"/>
        </w:rPr>
        <w:t>以上所有文件</w:t>
      </w:r>
      <w:r>
        <w:rPr>
          <w:rFonts w:hint="eastAsia" w:ascii="仿宋" w:hAnsi="仿宋" w:eastAsia="仿宋"/>
          <w:b/>
          <w:bCs/>
          <w:sz w:val="32"/>
          <w:szCs w:val="32"/>
        </w:rPr>
        <w:t>一式两份（一正一副），必须每页</w:t>
      </w:r>
      <w:r>
        <w:rPr>
          <w:rFonts w:ascii="仿宋" w:hAnsi="仿宋" w:eastAsia="仿宋"/>
          <w:b/>
          <w:bCs/>
          <w:sz w:val="32"/>
          <w:szCs w:val="32"/>
        </w:rPr>
        <w:t>加盖公章</w:t>
      </w:r>
      <w:r>
        <w:rPr>
          <w:rFonts w:hint="eastAsia" w:ascii="仿宋" w:hAnsi="仿宋" w:eastAsia="仿宋"/>
          <w:b/>
          <w:bCs/>
          <w:sz w:val="32"/>
          <w:szCs w:val="32"/>
        </w:rPr>
        <w:t>并密封完好，报价人所递交的报价文件必须为盖章原件，公章、私章或签字为彩色（或黑白）复印的报价文件无效。</w:t>
      </w:r>
    </w:p>
    <w:p>
      <w:pPr>
        <w:spacing w:line="360" w:lineRule="auto"/>
        <w:ind w:firstLine="643" w:firstLineChars="200"/>
        <w:outlineLvl w:val="1"/>
        <w:rPr>
          <w:rFonts w:ascii="仿宋" w:hAnsi="仿宋" w:eastAsia="仿宋"/>
          <w:b/>
          <w:bCs/>
          <w:sz w:val="32"/>
          <w:szCs w:val="32"/>
        </w:rPr>
      </w:pPr>
      <w:r>
        <w:rPr>
          <w:rFonts w:ascii="仿宋" w:hAnsi="仿宋" w:eastAsia="仿宋"/>
          <w:b/>
          <w:bCs/>
          <w:sz w:val="32"/>
          <w:szCs w:val="32"/>
        </w:rPr>
        <w:t>十</w:t>
      </w:r>
      <w:r>
        <w:rPr>
          <w:rFonts w:hint="eastAsia" w:ascii="仿宋" w:hAnsi="仿宋" w:eastAsia="仿宋"/>
          <w:b/>
          <w:bCs/>
          <w:sz w:val="32"/>
          <w:szCs w:val="32"/>
        </w:rPr>
        <w:t>二</w:t>
      </w:r>
      <w:r>
        <w:rPr>
          <w:rFonts w:ascii="仿宋" w:hAnsi="仿宋" w:eastAsia="仿宋"/>
          <w:b/>
          <w:bCs/>
          <w:sz w:val="32"/>
          <w:szCs w:val="32"/>
        </w:rPr>
        <w:t>、保证金</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1、各报价人应按询价文件规定的金额（限价2%）在</w:t>
      </w:r>
      <w:r>
        <w:rPr>
          <w:rFonts w:hint="eastAsia" w:ascii="仿宋" w:hAnsi="仿宋" w:eastAsia="仿宋"/>
          <w:b/>
          <w:bCs/>
          <w:sz w:val="32"/>
          <w:szCs w:val="32"/>
        </w:rPr>
        <w:t>开标前</w:t>
      </w:r>
      <w:r>
        <w:rPr>
          <w:rFonts w:hint="eastAsia" w:ascii="仿宋" w:hAnsi="仿宋" w:eastAsia="仿宋"/>
          <w:sz w:val="32"/>
          <w:szCs w:val="32"/>
        </w:rPr>
        <w:t>交纳</w:t>
      </w:r>
      <w:r>
        <w:rPr>
          <w:rFonts w:ascii="仿宋" w:hAnsi="仿宋" w:eastAsia="仿宋"/>
          <w:sz w:val="32"/>
          <w:szCs w:val="32"/>
        </w:rPr>
        <w:t>报价保证金到东莞市新东欣环保投资有限公司</w:t>
      </w:r>
      <w:r>
        <w:rPr>
          <w:rFonts w:hint="eastAsia" w:ascii="仿宋" w:hAnsi="仿宋" w:eastAsia="仿宋"/>
          <w:sz w:val="32"/>
          <w:szCs w:val="32"/>
        </w:rPr>
        <w:t>（银行保函或转账，不接受第三方担保及现金），作为采购人垫付服务过程中产生应由成交人支付费用或报价人违约罚款的来源。未成交人报价保证金在开标结束后无息退还，成交人报价保证金在采购人收到成交人提交的履约担保款后无息退还。</w:t>
      </w:r>
    </w:p>
    <w:p>
      <w:pPr>
        <w:pStyle w:val="40"/>
        <w:numPr>
          <w:ilvl w:val="0"/>
          <w:numId w:val="1"/>
        </w:numPr>
        <w:spacing w:line="360" w:lineRule="auto"/>
        <w:ind w:firstLine="640" w:firstLineChars="0"/>
        <w:outlineLvl w:val="1"/>
        <w:rPr>
          <w:rFonts w:ascii="仿宋" w:hAnsi="仿宋" w:eastAsia="仿宋"/>
          <w:sz w:val="32"/>
          <w:szCs w:val="32"/>
        </w:rPr>
      </w:pPr>
      <w:r>
        <w:rPr>
          <w:rFonts w:hint="eastAsia" w:ascii="仿宋" w:hAnsi="仿宋" w:eastAsia="仿宋"/>
          <w:sz w:val="32"/>
          <w:szCs w:val="32"/>
        </w:rPr>
        <w:t>报价人与交款人名称必须一致，非报价人缴纳的报价保证金无效。</w:t>
      </w:r>
    </w:p>
    <w:p>
      <w:pPr>
        <w:pStyle w:val="40"/>
        <w:numPr>
          <w:ilvl w:val="0"/>
          <w:numId w:val="1"/>
        </w:numPr>
        <w:spacing w:line="360" w:lineRule="auto"/>
        <w:ind w:firstLine="640" w:firstLineChars="0"/>
        <w:outlineLvl w:val="1"/>
        <w:rPr>
          <w:rFonts w:ascii="仿宋" w:hAnsi="仿宋" w:eastAsia="仿宋"/>
          <w:sz w:val="32"/>
          <w:szCs w:val="32"/>
          <w:highlight w:val="yellow"/>
        </w:rPr>
      </w:pPr>
      <w:r>
        <w:rPr>
          <w:rFonts w:hint="eastAsia" w:ascii="仿宋" w:hAnsi="仿宋" w:eastAsia="仿宋"/>
          <w:sz w:val="32"/>
          <w:szCs w:val="32"/>
          <w:highlight w:val="yellow"/>
        </w:rPr>
        <w:t>报价保证金金额：人民币大写</w:t>
      </w:r>
      <w:r>
        <w:rPr>
          <w:rFonts w:hint="eastAsia" w:ascii="仿宋" w:hAnsi="仿宋" w:eastAsia="仿宋"/>
          <w:sz w:val="32"/>
          <w:szCs w:val="32"/>
          <w:highlight w:val="yellow"/>
          <w:lang w:val="en-US" w:eastAsia="zh-CN"/>
        </w:rPr>
        <w:t>伍仟陆佰元</w:t>
      </w:r>
      <w:r>
        <w:rPr>
          <w:rFonts w:hint="eastAsia" w:ascii="仿宋" w:hAnsi="仿宋" w:eastAsia="仿宋"/>
          <w:sz w:val="32"/>
          <w:szCs w:val="32"/>
          <w:highlight w:val="yellow"/>
        </w:rPr>
        <w:t>整（</w:t>
      </w:r>
      <w:r>
        <w:rPr>
          <w:rFonts w:ascii="Calibri" w:hAnsi="Calibri" w:eastAsia="仿宋" w:cs="Calibri"/>
          <w:sz w:val="32"/>
          <w:szCs w:val="32"/>
          <w:highlight w:val="yellow"/>
        </w:rPr>
        <w:t>¥</w:t>
      </w:r>
      <w:r>
        <w:rPr>
          <w:rFonts w:hint="eastAsia" w:ascii="仿宋" w:hAnsi="仿宋" w:eastAsia="仿宋"/>
          <w:sz w:val="32"/>
          <w:szCs w:val="32"/>
          <w:highlight w:val="yellow"/>
          <w:lang w:val="en-US" w:eastAsia="zh-CN"/>
        </w:rPr>
        <w:t>5600</w:t>
      </w:r>
      <w:r>
        <w:rPr>
          <w:rFonts w:hint="eastAsia" w:ascii="仿宋" w:hAnsi="仿宋" w:eastAsia="仿宋"/>
          <w:sz w:val="32"/>
          <w:szCs w:val="32"/>
          <w:highlight w:val="yellow"/>
        </w:rPr>
        <w:t>.00元）。</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4、报价保证金缴纳期限：本项目开标时间截止前（报价保证金汇错账号、迟到或不足额均作无效处理）。</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5、报价保证金收款账户信息：</w:t>
      </w:r>
    </w:p>
    <w:p>
      <w:pPr>
        <w:spacing w:line="360" w:lineRule="auto"/>
        <w:ind w:firstLine="640" w:firstLineChars="200"/>
        <w:rPr>
          <w:rFonts w:ascii="仿宋" w:hAnsi="仿宋" w:eastAsia="仿宋"/>
          <w:sz w:val="32"/>
          <w:szCs w:val="32"/>
        </w:rPr>
      </w:pPr>
      <w:r>
        <w:rPr>
          <w:rFonts w:ascii="仿宋" w:hAnsi="仿宋" w:eastAsia="仿宋"/>
          <w:sz w:val="32"/>
          <w:szCs w:val="32"/>
        </w:rPr>
        <w:t>帐户名称：东莞市新东欣环保投资有限公司</w:t>
      </w:r>
    </w:p>
    <w:p>
      <w:pPr>
        <w:spacing w:line="360" w:lineRule="auto"/>
        <w:ind w:firstLine="640" w:firstLineChars="200"/>
        <w:rPr>
          <w:rFonts w:ascii="仿宋" w:hAnsi="仿宋" w:eastAsia="仿宋"/>
          <w:sz w:val="32"/>
          <w:szCs w:val="32"/>
        </w:rPr>
      </w:pPr>
      <w:r>
        <w:rPr>
          <w:rFonts w:ascii="仿宋" w:hAnsi="仿宋" w:eastAsia="仿宋"/>
          <w:sz w:val="32"/>
          <w:szCs w:val="32"/>
        </w:rPr>
        <w:t>开户银行：中信银行股份有限公司东莞麻涌支行</w:t>
      </w:r>
    </w:p>
    <w:p>
      <w:pPr>
        <w:spacing w:line="360" w:lineRule="auto"/>
        <w:ind w:firstLine="640" w:firstLineChars="200"/>
        <w:rPr>
          <w:rFonts w:ascii="仿宋" w:hAnsi="仿宋" w:eastAsia="仿宋"/>
          <w:sz w:val="32"/>
          <w:szCs w:val="32"/>
        </w:rPr>
      </w:pPr>
      <w:r>
        <w:rPr>
          <w:rFonts w:ascii="仿宋" w:hAnsi="仿宋" w:eastAsia="仿宋"/>
          <w:sz w:val="32"/>
          <w:szCs w:val="32"/>
        </w:rPr>
        <w:t>银行帐号：8114801014200219007</w:t>
      </w:r>
    </w:p>
    <w:p>
      <w:pPr>
        <w:spacing w:line="360" w:lineRule="auto"/>
        <w:ind w:firstLine="643" w:firstLineChars="200"/>
        <w:outlineLvl w:val="1"/>
        <w:rPr>
          <w:rFonts w:ascii="仿宋" w:hAnsi="仿宋" w:eastAsia="仿宋"/>
          <w:b/>
          <w:bCs/>
          <w:sz w:val="32"/>
          <w:szCs w:val="32"/>
        </w:rPr>
      </w:pPr>
      <w:r>
        <w:rPr>
          <w:rFonts w:ascii="仿宋" w:hAnsi="仿宋" w:eastAsia="仿宋"/>
          <w:b/>
          <w:bCs/>
          <w:sz w:val="32"/>
          <w:szCs w:val="32"/>
        </w:rPr>
        <w:t>十</w:t>
      </w:r>
      <w:r>
        <w:rPr>
          <w:rFonts w:hint="eastAsia" w:ascii="仿宋" w:hAnsi="仿宋" w:eastAsia="仿宋"/>
          <w:b/>
          <w:bCs/>
          <w:sz w:val="32"/>
          <w:szCs w:val="32"/>
        </w:rPr>
        <w:t>三</w:t>
      </w:r>
      <w:r>
        <w:rPr>
          <w:rFonts w:ascii="仿宋" w:hAnsi="仿宋" w:eastAsia="仿宋"/>
          <w:b/>
          <w:bCs/>
          <w:sz w:val="32"/>
          <w:szCs w:val="32"/>
        </w:rPr>
        <w:t>、开标时间及地址</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开标时间：202</w:t>
      </w:r>
      <w:r>
        <w:rPr>
          <w:rFonts w:hint="eastAsia" w:ascii="仿宋" w:hAnsi="仿宋" w:eastAsia="仿宋"/>
          <w:sz w:val="32"/>
          <w:szCs w:val="32"/>
        </w:rPr>
        <w:t>1</w:t>
      </w:r>
      <w:r>
        <w:rPr>
          <w:rFonts w:ascii="仿宋" w:hAnsi="仿宋" w:eastAsia="仿宋"/>
          <w:sz w:val="32"/>
          <w:szCs w:val="32"/>
        </w:rPr>
        <w:t>年</w:t>
      </w:r>
      <w:r>
        <w:rPr>
          <w:rFonts w:hint="eastAsia" w:ascii="仿宋" w:hAnsi="仿宋" w:eastAsia="仿宋"/>
          <w:sz w:val="32"/>
          <w:szCs w:val="32"/>
          <w:lang w:val="en-US" w:eastAsia="zh-CN"/>
        </w:rPr>
        <w:t>8</w:t>
      </w:r>
      <w:r>
        <w:rPr>
          <w:rFonts w:ascii="仿宋" w:hAnsi="仿宋" w:eastAsia="仿宋"/>
          <w:sz w:val="32"/>
          <w:szCs w:val="32"/>
        </w:rPr>
        <w:t>月</w:t>
      </w:r>
      <w:r>
        <w:rPr>
          <w:rFonts w:hint="eastAsia" w:ascii="仿宋" w:hAnsi="仿宋" w:eastAsia="仿宋"/>
          <w:sz w:val="32"/>
          <w:szCs w:val="32"/>
          <w:lang w:val="en-US" w:eastAsia="zh-CN"/>
        </w:rPr>
        <w:t>31</w:t>
      </w:r>
      <w:r>
        <w:rPr>
          <w:rFonts w:ascii="仿宋" w:hAnsi="仿宋" w:eastAsia="仿宋"/>
          <w:sz w:val="32"/>
          <w:szCs w:val="32"/>
        </w:rPr>
        <w:t>日（星期</w:t>
      </w:r>
      <w:r>
        <w:rPr>
          <w:rFonts w:hint="eastAsia" w:ascii="仿宋" w:hAnsi="仿宋" w:eastAsia="仿宋"/>
          <w:sz w:val="32"/>
          <w:szCs w:val="32"/>
          <w:lang w:val="en-US" w:eastAsia="zh-CN"/>
        </w:rPr>
        <w:t>二</w:t>
      </w:r>
      <w:r>
        <w:rPr>
          <w:rFonts w:ascii="仿宋" w:hAnsi="仿宋" w:eastAsia="仿宋"/>
          <w:sz w:val="32"/>
          <w:szCs w:val="32"/>
        </w:rPr>
        <w:t>）</w:t>
      </w:r>
      <w:r>
        <w:rPr>
          <w:rFonts w:hint="eastAsia" w:ascii="仿宋" w:hAnsi="仿宋" w:eastAsia="仿宋"/>
          <w:sz w:val="32"/>
          <w:szCs w:val="32"/>
          <w:lang w:val="en-US" w:eastAsia="zh-CN"/>
        </w:rPr>
        <w:t>下午15:00</w:t>
      </w:r>
      <w:r>
        <w:rPr>
          <w:rFonts w:ascii="仿宋" w:hAnsi="仿宋" w:eastAsia="仿宋"/>
          <w:sz w:val="32"/>
          <w:szCs w:val="32"/>
        </w:rPr>
        <w:t>。</w:t>
      </w:r>
    </w:p>
    <w:p>
      <w:pPr>
        <w:ind w:firstLine="643" w:firstLineChars="200"/>
        <w:rPr>
          <w:rFonts w:eastAsia="仿宋"/>
          <w:b/>
          <w:bCs/>
          <w:sz w:val="32"/>
          <w:szCs w:val="32"/>
        </w:rPr>
      </w:pPr>
      <w:r>
        <w:rPr>
          <w:rFonts w:eastAsia="仿宋"/>
          <w:b/>
          <w:bCs/>
          <w:sz w:val="32"/>
          <w:szCs w:val="32"/>
        </w:rPr>
        <w:t>为响应新型冠状病毒肺炎防疫工作，本项目报价人可选择现场递交报价文件或邮寄报价文件，其中：</w:t>
      </w:r>
    </w:p>
    <w:p>
      <w:pPr>
        <w:ind w:firstLine="640" w:firstLineChars="200"/>
        <w:rPr>
          <w:rFonts w:eastAsia="仿宋"/>
          <w:sz w:val="32"/>
          <w:szCs w:val="32"/>
        </w:rPr>
      </w:pPr>
      <w:r>
        <w:rPr>
          <w:rFonts w:eastAsia="仿宋"/>
          <w:sz w:val="32"/>
          <w:szCs w:val="32"/>
        </w:rPr>
        <w:t>1、现场递交报价文件的报价人须委派法定代表人或授权委托人到开标地址提交报价文件并参加开标会议；从新型</w:t>
      </w:r>
      <w:r>
        <w:rPr>
          <w:rFonts w:hint="eastAsia" w:eastAsia="仿宋"/>
          <w:sz w:val="32"/>
          <w:szCs w:val="32"/>
        </w:rPr>
        <w:t xml:space="preserve"> </w:t>
      </w:r>
      <w:r>
        <w:rPr>
          <w:rFonts w:eastAsia="仿宋"/>
          <w:sz w:val="32"/>
          <w:szCs w:val="32"/>
        </w:rPr>
        <w:t xml:space="preserve"> 冠状病毒中高风险地区到现场报价的人员，必须持48小时内医院出具的核酸检测无异常证明，并提供行程绿码、粤康码绿码，否则不得进入海心沙岛。</w:t>
      </w:r>
      <w:r>
        <w:rPr>
          <w:rFonts w:hint="eastAsia" w:eastAsia="仿宋"/>
          <w:sz w:val="32"/>
          <w:szCs w:val="32"/>
        </w:rPr>
        <w:t xml:space="preserve">  </w:t>
      </w:r>
    </w:p>
    <w:p>
      <w:pPr>
        <w:ind w:firstLine="640" w:firstLineChars="200"/>
        <w:rPr>
          <w:rFonts w:eastAsia="仿宋"/>
          <w:sz w:val="32"/>
          <w:szCs w:val="32"/>
        </w:rPr>
      </w:pPr>
      <w:r>
        <w:rPr>
          <w:rFonts w:eastAsia="仿宋"/>
          <w:sz w:val="32"/>
          <w:szCs w:val="32"/>
        </w:rPr>
        <w:t>报价人提交报价文件地址：东莞市麻涌镇大步村海心沙岛东莞市东实新能源有限公司管理中心</w:t>
      </w:r>
      <w:r>
        <w:rPr>
          <w:rFonts w:hint="eastAsia" w:eastAsia="仿宋"/>
          <w:sz w:val="32"/>
          <w:szCs w:val="32"/>
        </w:rPr>
        <w:t>6</w:t>
      </w:r>
      <w:r>
        <w:rPr>
          <w:rFonts w:eastAsia="仿宋"/>
          <w:sz w:val="32"/>
          <w:szCs w:val="32"/>
        </w:rPr>
        <w:t>楼</w:t>
      </w:r>
      <w:r>
        <w:rPr>
          <w:rFonts w:hint="eastAsia" w:eastAsia="仿宋"/>
          <w:sz w:val="32"/>
          <w:szCs w:val="32"/>
        </w:rPr>
        <w:t>6</w:t>
      </w:r>
      <w:r>
        <w:rPr>
          <w:rFonts w:eastAsia="仿宋"/>
          <w:sz w:val="32"/>
          <w:szCs w:val="32"/>
        </w:rPr>
        <w:t>C会议室（可导航“市政一公司海心沙项目”往前约200米，或导航“北京琪玥环保科技有限公司(东莞海心沙项目部)”往前约70米）</w:t>
      </w:r>
    </w:p>
    <w:p>
      <w:pPr>
        <w:ind w:firstLine="640" w:firstLineChars="200"/>
        <w:rPr>
          <w:rFonts w:eastAsia="仿宋"/>
          <w:sz w:val="32"/>
          <w:szCs w:val="32"/>
        </w:rPr>
      </w:pPr>
      <w:r>
        <w:rPr>
          <w:rFonts w:eastAsia="仿宋"/>
          <w:sz w:val="32"/>
          <w:szCs w:val="32"/>
        </w:rPr>
        <w:t>2、报价人可通过邮寄报价文件的方式参加报价，报价人必须确保报价文件密封完好，在开标截止时间前一日送达采购人处，须使用顺丰速运提前寄送（运费自理，采购人拒收到付件），因邮寄造成报价文件破损无效或文件丢失的责任由报价人自负，开标时间后送达的报价文件无效。</w:t>
      </w:r>
    </w:p>
    <w:p>
      <w:pPr>
        <w:ind w:firstLine="640" w:firstLineChars="200"/>
        <w:rPr>
          <w:rFonts w:eastAsia="仿宋"/>
          <w:sz w:val="32"/>
          <w:szCs w:val="32"/>
        </w:rPr>
      </w:pPr>
      <w:r>
        <w:rPr>
          <w:rFonts w:eastAsia="仿宋"/>
          <w:sz w:val="32"/>
          <w:szCs w:val="32"/>
        </w:rPr>
        <w:t xml:space="preserve">收件地址：东莞市麻涌镇大步村海心沙岛东莞市东实新能源有限公司管理中心6楼招标成本部 </w:t>
      </w:r>
    </w:p>
    <w:p>
      <w:pPr>
        <w:ind w:firstLine="640" w:firstLineChars="200"/>
        <w:rPr>
          <w:rFonts w:eastAsia="仿宋"/>
          <w:sz w:val="32"/>
          <w:szCs w:val="32"/>
        </w:rPr>
      </w:pPr>
      <w:r>
        <w:rPr>
          <w:rFonts w:eastAsia="仿宋"/>
          <w:sz w:val="32"/>
          <w:szCs w:val="32"/>
        </w:rPr>
        <w:t>联系人：</w:t>
      </w:r>
      <w:r>
        <w:rPr>
          <w:rFonts w:hint="eastAsia" w:eastAsia="仿宋"/>
          <w:sz w:val="32"/>
          <w:szCs w:val="32"/>
        </w:rPr>
        <w:t>邓小姐</w:t>
      </w:r>
    </w:p>
    <w:p>
      <w:pPr>
        <w:ind w:firstLine="640" w:firstLineChars="200"/>
        <w:rPr>
          <w:rFonts w:eastAsia="仿宋"/>
          <w:sz w:val="32"/>
          <w:szCs w:val="32"/>
        </w:rPr>
      </w:pPr>
      <w:r>
        <w:rPr>
          <w:rFonts w:eastAsia="仿宋"/>
          <w:sz w:val="32"/>
          <w:szCs w:val="32"/>
        </w:rPr>
        <w:t>联系电话：</w:t>
      </w:r>
      <w:r>
        <w:rPr>
          <w:rFonts w:hint="eastAsia" w:eastAsia="仿宋"/>
          <w:sz w:val="32"/>
          <w:szCs w:val="32"/>
        </w:rPr>
        <w:t>13638423967</w:t>
      </w:r>
    </w:p>
    <w:p>
      <w:pPr>
        <w:spacing w:line="360" w:lineRule="auto"/>
        <w:ind w:firstLine="643" w:firstLineChars="200"/>
        <w:outlineLvl w:val="1"/>
        <w:rPr>
          <w:rFonts w:ascii="仿宋" w:hAnsi="仿宋" w:eastAsia="仿宋"/>
          <w:b/>
          <w:bCs/>
          <w:sz w:val="32"/>
          <w:szCs w:val="32"/>
        </w:rPr>
      </w:pPr>
      <w:r>
        <w:rPr>
          <w:rFonts w:ascii="仿宋" w:hAnsi="仿宋" w:eastAsia="仿宋"/>
          <w:b/>
          <w:bCs/>
          <w:sz w:val="32"/>
          <w:szCs w:val="32"/>
        </w:rPr>
        <w:t>十</w:t>
      </w:r>
      <w:r>
        <w:rPr>
          <w:rFonts w:hint="eastAsia" w:ascii="仿宋" w:hAnsi="仿宋" w:eastAsia="仿宋"/>
          <w:b/>
          <w:bCs/>
          <w:sz w:val="32"/>
          <w:szCs w:val="32"/>
        </w:rPr>
        <w:t>四</w:t>
      </w:r>
      <w:r>
        <w:rPr>
          <w:rFonts w:ascii="仿宋" w:hAnsi="仿宋" w:eastAsia="仿宋"/>
          <w:b/>
          <w:bCs/>
          <w:sz w:val="32"/>
          <w:szCs w:val="32"/>
        </w:rPr>
        <w:t>、注意事项</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1、报价人需持该公司的授权委托书及被授权人身份证原件提交给我司门岗登记和检查，出示</w:t>
      </w:r>
      <w:r>
        <w:rPr>
          <w:rFonts w:hint="eastAsia" w:ascii="仿宋" w:hAnsi="仿宋" w:eastAsia="仿宋"/>
          <w:b/>
          <w:bCs/>
          <w:sz w:val="36"/>
          <w:szCs w:val="36"/>
          <w:highlight w:val="yellow"/>
        </w:rPr>
        <w:t>密封文件袋封面</w:t>
      </w:r>
      <w:r>
        <w:rPr>
          <w:rFonts w:hint="eastAsia" w:ascii="仿宋" w:hAnsi="仿宋" w:eastAsia="仿宋"/>
          <w:sz w:val="32"/>
          <w:szCs w:val="32"/>
        </w:rPr>
        <w:t>，方可进入我司，且进入我司人员不得超过2人。若报价人未按规定时间将文件送达现场，视为放弃报价资格。</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2、报价人如未按要求交纳报价保证金，则视为放弃报价资格。</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3、采购人向报价人提供的有关资料和数据，是采购人现有的能使报价人利用的资料，采购人对报价人由此而做出的推论、理解和结论概不负责。</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4、本项目执行过程中将遵循国家、省、市有关法律、法规、标准、技术规范和规范性文件的最新规定。</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5、本项目仅可提交一个报价方案，提交两个或以上报价方案的报价人视为无效报价。</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6</w:t>
      </w:r>
      <w:r>
        <w:rPr>
          <w:rFonts w:hint="eastAsia" w:ascii="仿宋" w:hAnsi="仿宋" w:eastAsia="仿宋"/>
          <w:sz w:val="32"/>
          <w:szCs w:val="32"/>
        </w:rPr>
        <w:t>、本项目不接受报价人其他附加条件。</w:t>
      </w:r>
    </w:p>
    <w:p>
      <w:pPr>
        <w:spacing w:line="360" w:lineRule="auto"/>
        <w:ind w:firstLine="640" w:firstLineChars="200"/>
        <w:outlineLvl w:val="1"/>
        <w:rPr>
          <w:rFonts w:hint="eastAsia" w:ascii="仿宋" w:hAnsi="仿宋" w:eastAsia="仿宋"/>
          <w:sz w:val="32"/>
          <w:szCs w:val="32"/>
        </w:rPr>
      </w:pPr>
      <w:r>
        <w:rPr>
          <w:rFonts w:ascii="仿宋" w:hAnsi="仿宋" w:eastAsia="仿宋"/>
          <w:sz w:val="32"/>
          <w:szCs w:val="32"/>
        </w:rPr>
        <w:t>7</w:t>
      </w:r>
      <w:r>
        <w:rPr>
          <w:rFonts w:hint="eastAsia" w:ascii="仿宋" w:hAnsi="仿宋" w:eastAsia="仿宋"/>
          <w:sz w:val="32"/>
          <w:szCs w:val="32"/>
        </w:rPr>
        <w:t>、有下列情形之一的，报价保证金将被没收，报价人纳入采购人供应商黑名单：</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lang w:eastAsia="zh-CN"/>
        </w:rPr>
        <w:t>（</w:t>
      </w:r>
      <w:r>
        <w:rPr>
          <w:rFonts w:hint="eastAsia" w:ascii="仿宋" w:hAnsi="仿宋" w:eastAsia="仿宋"/>
          <w:sz w:val="32"/>
          <w:szCs w:val="32"/>
        </w:rPr>
        <w:t>1）中标后无正当理由放弃中标或不与采购人签订合同，又或者签订合同后不交定金（履约保证金）的。</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lang w:eastAsia="zh-CN"/>
        </w:rPr>
        <w:t>（</w:t>
      </w:r>
      <w:r>
        <w:rPr>
          <w:rFonts w:hint="eastAsia" w:ascii="仿宋" w:hAnsi="仿宋" w:eastAsia="仿宋"/>
          <w:sz w:val="32"/>
          <w:szCs w:val="32"/>
        </w:rPr>
        <w:t>2）成交人将本项目转让给他人，或者在报价文件中未说明，且未经采购人同意，将中标项目分包给他人，采购人可没收其报价保证金。</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lang w:eastAsia="zh-CN"/>
        </w:rPr>
        <w:t>（</w:t>
      </w:r>
      <w:r>
        <w:rPr>
          <w:rFonts w:hint="eastAsia" w:ascii="仿宋" w:hAnsi="仿宋" w:eastAsia="仿宋"/>
          <w:sz w:val="32"/>
          <w:szCs w:val="32"/>
        </w:rPr>
        <w:t>3）报价人提供虚假报价文件或虚假补充文件。</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8、有下列情形之一的，视为报价人串通询价，其报价无效：</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1</w:t>
      </w:r>
      <w:r>
        <w:rPr>
          <w:rFonts w:hint="eastAsia" w:ascii="仿宋" w:hAnsi="仿宋" w:eastAsia="仿宋"/>
          <w:sz w:val="32"/>
          <w:szCs w:val="32"/>
        </w:rPr>
        <w:t>）不同报价人的报价文件由同一单位或者个人编制；</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2</w:t>
      </w:r>
      <w:r>
        <w:rPr>
          <w:rFonts w:hint="eastAsia" w:ascii="仿宋" w:hAnsi="仿宋" w:eastAsia="仿宋"/>
          <w:sz w:val="32"/>
          <w:szCs w:val="32"/>
        </w:rPr>
        <w:t>）不同报价人委托同一单位或者个人办理报价事宜；</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3</w:t>
      </w:r>
      <w:r>
        <w:rPr>
          <w:rFonts w:hint="eastAsia" w:ascii="仿宋" w:hAnsi="仿宋" w:eastAsia="仿宋"/>
          <w:sz w:val="32"/>
          <w:szCs w:val="32"/>
        </w:rPr>
        <w:t>）不同报价人的报价文件载明的项目管理成员或者联系人员为同一人；</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4</w:t>
      </w:r>
      <w:r>
        <w:rPr>
          <w:rFonts w:hint="eastAsia" w:ascii="仿宋" w:hAnsi="仿宋" w:eastAsia="仿宋"/>
          <w:sz w:val="32"/>
          <w:szCs w:val="32"/>
        </w:rPr>
        <w:t>）不同报价人的报价文件异常一致或者报价呈规律性差异；</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5</w:t>
      </w:r>
      <w:r>
        <w:rPr>
          <w:rFonts w:hint="eastAsia" w:ascii="仿宋" w:hAnsi="仿宋" w:eastAsia="仿宋"/>
          <w:sz w:val="32"/>
          <w:szCs w:val="32"/>
        </w:rPr>
        <w:t>）不同报价人的报价文件相互混装；</w:t>
      </w:r>
    </w:p>
    <w:p>
      <w:pPr>
        <w:adjustRightInd w:val="0"/>
        <w:snapToGrid w:val="0"/>
        <w:spacing w:line="560" w:lineRule="exact"/>
        <w:ind w:firstLine="640" w:firstLineChars="200"/>
        <w:rPr>
          <w:rFonts w:ascii="仿宋" w:hAnsi="仿宋" w:eastAsia="仿宋"/>
          <w:sz w:val="32"/>
          <w:szCs w:val="32"/>
        </w:rPr>
      </w:pPr>
      <w:r>
        <w:rPr>
          <w:rFonts w:hint="eastAsia" w:ascii="仿宋" w:hAnsi="仿宋" w:eastAsia="仿宋"/>
          <w:sz w:val="32"/>
          <w:szCs w:val="32"/>
        </w:rPr>
        <w:t>（</w:t>
      </w:r>
      <w:r>
        <w:rPr>
          <w:rFonts w:ascii="仿宋" w:hAnsi="仿宋" w:eastAsia="仿宋"/>
          <w:sz w:val="32"/>
          <w:szCs w:val="32"/>
        </w:rPr>
        <w:t>6</w:t>
      </w:r>
      <w:r>
        <w:rPr>
          <w:rFonts w:hint="eastAsia" w:ascii="仿宋" w:hAnsi="仿宋" w:eastAsia="仿宋"/>
          <w:sz w:val="32"/>
          <w:szCs w:val="32"/>
        </w:rPr>
        <w:t>）不同报价人的报价保证金从同一单位或者个人的账户转出。</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9、已列入东实集团及其下属企业黑名单的报价人的报价文件视为无效。</w:t>
      </w:r>
    </w:p>
    <w:p>
      <w:pPr>
        <w:adjustRightInd w:val="0"/>
        <w:snapToGrid w:val="0"/>
        <w:spacing w:line="560" w:lineRule="exact"/>
        <w:ind w:firstLine="640" w:firstLineChars="200"/>
        <w:rPr>
          <w:rFonts w:eastAsia="仿宋_GB2312"/>
          <w:color w:val="000000"/>
          <w:sz w:val="32"/>
          <w:szCs w:val="32"/>
        </w:rPr>
      </w:pPr>
    </w:p>
    <w:p>
      <w:pPr>
        <w:spacing w:line="360" w:lineRule="auto"/>
        <w:ind w:firstLine="640" w:firstLineChars="200"/>
        <w:outlineLvl w:val="1"/>
        <w:rPr>
          <w:rFonts w:ascii="仿宋" w:hAnsi="仿宋" w:eastAsia="仿宋"/>
          <w:sz w:val="32"/>
          <w:szCs w:val="32"/>
        </w:rPr>
      </w:pPr>
    </w:p>
    <w:p>
      <w:pPr>
        <w:spacing w:line="360" w:lineRule="auto"/>
        <w:ind w:firstLine="640" w:firstLineChars="200"/>
        <w:jc w:val="right"/>
        <w:rPr>
          <w:rFonts w:ascii="仿宋" w:hAnsi="仿宋" w:eastAsia="仿宋"/>
          <w:sz w:val="32"/>
          <w:szCs w:val="32"/>
        </w:rPr>
      </w:pPr>
      <w:r>
        <w:rPr>
          <w:rFonts w:hint="eastAsia" w:ascii="仿宋" w:hAnsi="仿宋" w:eastAsia="仿宋"/>
          <w:sz w:val="32"/>
          <w:szCs w:val="32"/>
        </w:rPr>
        <w:t xml:space="preserve"> </w:t>
      </w:r>
    </w:p>
    <w:p>
      <w:pPr>
        <w:spacing w:line="360" w:lineRule="auto"/>
        <w:ind w:firstLine="640" w:firstLineChars="200"/>
        <w:jc w:val="right"/>
        <w:rPr>
          <w:rFonts w:ascii="仿宋" w:hAnsi="仿宋" w:eastAsia="仿宋"/>
          <w:sz w:val="32"/>
          <w:szCs w:val="32"/>
        </w:rPr>
      </w:pPr>
      <w:r>
        <w:rPr>
          <w:rFonts w:ascii="仿宋" w:hAnsi="仿宋" w:eastAsia="仿宋"/>
          <w:sz w:val="32"/>
          <w:szCs w:val="32"/>
        </w:rPr>
        <w:t>东莞市新东欣环保投资有限公司</w:t>
      </w:r>
    </w:p>
    <w:p>
      <w:pPr>
        <w:spacing w:line="360" w:lineRule="auto"/>
        <w:ind w:firstLine="640" w:firstLineChars="200"/>
        <w:jc w:val="right"/>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02</w:t>
      </w:r>
      <w:r>
        <w:rPr>
          <w:rFonts w:hint="eastAsia" w:ascii="仿宋" w:hAnsi="仿宋" w:eastAsia="仿宋"/>
          <w:sz w:val="32"/>
          <w:szCs w:val="32"/>
        </w:rPr>
        <w:t>1年</w:t>
      </w:r>
      <w:r>
        <w:rPr>
          <w:rFonts w:hint="eastAsia" w:ascii="仿宋" w:hAnsi="仿宋" w:eastAsia="仿宋"/>
          <w:sz w:val="32"/>
          <w:szCs w:val="32"/>
          <w:lang w:val="en-US" w:eastAsia="zh-CN"/>
        </w:rPr>
        <w:t>8</w:t>
      </w:r>
      <w:r>
        <w:rPr>
          <w:rFonts w:hint="eastAsia" w:ascii="仿宋" w:hAnsi="仿宋" w:eastAsia="仿宋"/>
          <w:sz w:val="32"/>
          <w:szCs w:val="32"/>
        </w:rPr>
        <w:t>月</w:t>
      </w:r>
      <w:r>
        <w:rPr>
          <w:rFonts w:hint="eastAsia" w:ascii="仿宋" w:hAnsi="仿宋" w:eastAsia="仿宋"/>
          <w:sz w:val="32"/>
          <w:szCs w:val="32"/>
          <w:lang w:val="en-US" w:eastAsia="zh-CN"/>
        </w:rPr>
        <w:t>25</w:t>
      </w:r>
      <w:bookmarkStart w:id="34" w:name="_GoBack"/>
      <w:bookmarkEnd w:id="34"/>
      <w:r>
        <w:rPr>
          <w:rFonts w:hint="eastAsia" w:ascii="仿宋" w:hAnsi="仿宋" w:eastAsia="仿宋"/>
          <w:sz w:val="32"/>
          <w:szCs w:val="32"/>
        </w:rPr>
        <w:t>日</w:t>
      </w:r>
    </w:p>
    <w:p>
      <w:pPr>
        <w:pStyle w:val="2"/>
        <w:ind w:left="0" w:leftChars="0" w:firstLine="0"/>
        <w:rPr>
          <w:rFonts w:ascii="仿宋" w:hAnsi="仿宋" w:eastAsia="仿宋"/>
          <w:sz w:val="32"/>
          <w:szCs w:val="32"/>
        </w:rPr>
      </w:pPr>
    </w:p>
    <w:p>
      <w:pPr>
        <w:pStyle w:val="32"/>
        <w:numPr>
          <w:ilvl w:val="0"/>
          <w:numId w:val="2"/>
        </w:numPr>
        <w:spacing w:line="360" w:lineRule="auto"/>
        <w:ind w:left="420" w:firstLineChars="0"/>
        <w:outlineLvl w:val="1"/>
        <w:rPr>
          <w:rFonts w:ascii="仿宋" w:hAnsi="仿宋" w:eastAsia="仿宋"/>
          <w:b/>
          <w:bCs/>
          <w:sz w:val="28"/>
          <w:szCs w:val="44"/>
        </w:rPr>
      </w:pPr>
      <w:bookmarkStart w:id="2" w:name="_Hlk524442005"/>
      <w:r>
        <w:rPr>
          <w:rFonts w:hint="eastAsia" w:ascii="仿宋" w:hAnsi="仿宋" w:eastAsia="仿宋"/>
          <w:b/>
          <w:bCs/>
          <w:sz w:val="28"/>
          <w:szCs w:val="44"/>
        </w:rPr>
        <w:t>密封文件袋封面</w:t>
      </w:r>
    </w:p>
    <w:p>
      <w:pPr>
        <w:pStyle w:val="32"/>
        <w:spacing w:line="360" w:lineRule="auto"/>
        <w:ind w:firstLine="0" w:firstLineChars="0"/>
        <w:outlineLvl w:val="1"/>
        <w:rPr>
          <w:rFonts w:ascii="仿宋" w:hAnsi="仿宋" w:eastAsia="仿宋"/>
          <w:b/>
          <w:bCs/>
          <w:sz w:val="28"/>
          <w:szCs w:val="44"/>
        </w:rPr>
      </w:pPr>
    </w:p>
    <w:p>
      <w:pPr>
        <w:spacing w:line="360" w:lineRule="auto"/>
        <w:jc w:val="center"/>
        <w:rPr>
          <w:rFonts w:ascii="仿宋" w:hAnsi="仿宋" w:eastAsia="仿宋"/>
          <w:b/>
          <w:bCs/>
          <w:sz w:val="52"/>
          <w:szCs w:val="52"/>
        </w:rPr>
      </w:pPr>
    </w:p>
    <w:p>
      <w:pPr>
        <w:spacing w:line="360" w:lineRule="auto"/>
        <w:jc w:val="center"/>
        <w:rPr>
          <w:rFonts w:ascii="仿宋" w:hAnsi="仿宋" w:eastAsia="仿宋"/>
          <w:b/>
          <w:bCs/>
          <w:sz w:val="52"/>
          <w:szCs w:val="52"/>
        </w:rPr>
      </w:pPr>
    </w:p>
    <w:p>
      <w:pPr>
        <w:adjustRightInd w:val="0"/>
        <w:snapToGrid w:val="0"/>
        <w:spacing w:line="360" w:lineRule="auto"/>
        <w:jc w:val="center"/>
        <w:rPr>
          <w:rFonts w:hint="eastAsia" w:ascii="仿宋" w:hAnsi="仿宋" w:eastAsia="仿宋"/>
          <w:b/>
          <w:bCs/>
          <w:sz w:val="52"/>
          <w:szCs w:val="52"/>
        </w:rPr>
      </w:pPr>
      <w:r>
        <w:rPr>
          <w:rFonts w:hint="eastAsia" w:ascii="仿宋" w:hAnsi="仿宋" w:eastAsia="仿宋"/>
          <w:b/>
          <w:bCs/>
          <w:sz w:val="52"/>
          <w:szCs w:val="52"/>
        </w:rPr>
        <w:t>东莞市海心沙资源综合利用中心绿色工业服务项目检测中心阿贝尔</w:t>
      </w:r>
    </w:p>
    <w:p>
      <w:pPr>
        <w:adjustRightInd w:val="0"/>
        <w:snapToGrid w:val="0"/>
        <w:spacing w:line="360" w:lineRule="auto"/>
        <w:jc w:val="center"/>
        <w:rPr>
          <w:rFonts w:hint="eastAsia" w:ascii="仿宋" w:hAnsi="仿宋" w:eastAsia="仿宋"/>
          <w:b/>
          <w:bCs/>
          <w:sz w:val="52"/>
          <w:szCs w:val="52"/>
        </w:rPr>
      </w:pPr>
      <w:r>
        <w:rPr>
          <w:rFonts w:hint="eastAsia" w:ascii="仿宋" w:hAnsi="仿宋" w:eastAsia="仿宋"/>
          <w:b/>
          <w:bCs/>
          <w:sz w:val="52"/>
          <w:szCs w:val="52"/>
        </w:rPr>
        <w:t>闪点仪（ABA4）采购项目</w:t>
      </w:r>
    </w:p>
    <w:p>
      <w:pPr>
        <w:adjustRightInd w:val="0"/>
        <w:snapToGrid w:val="0"/>
        <w:spacing w:line="360" w:lineRule="auto"/>
        <w:jc w:val="center"/>
        <w:rPr>
          <w:rFonts w:ascii="仿宋" w:hAnsi="仿宋" w:eastAsia="仿宋"/>
          <w:b/>
          <w:bCs/>
          <w:sz w:val="52"/>
          <w:szCs w:val="52"/>
        </w:rPr>
      </w:pPr>
      <w:r>
        <w:rPr>
          <w:rFonts w:hint="eastAsia" w:ascii="仿宋" w:hAnsi="仿宋" w:eastAsia="仿宋"/>
          <w:b/>
          <w:bCs/>
          <w:sz w:val="52"/>
          <w:szCs w:val="52"/>
        </w:rPr>
        <w:t>报价文件</w:t>
      </w: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ind w:firstLine="566" w:firstLineChars="177"/>
        <w:rPr>
          <w:rFonts w:ascii="仿宋" w:hAnsi="仿宋" w:eastAsia="仿宋"/>
          <w:sz w:val="32"/>
          <w:szCs w:val="32"/>
        </w:rPr>
      </w:pPr>
      <w:r>
        <w:rPr>
          <w:rFonts w:hint="eastAsia" w:ascii="仿宋" w:hAnsi="仿宋" w:eastAsia="仿宋"/>
          <w:sz w:val="32"/>
          <w:szCs w:val="32"/>
        </w:rPr>
        <w:t>报价人名称（加盖公章）：</w:t>
      </w:r>
      <w:r>
        <w:rPr>
          <w:rFonts w:hint="eastAsia" w:ascii="仿宋" w:hAnsi="仿宋" w:eastAsia="仿宋"/>
          <w:sz w:val="32"/>
          <w:szCs w:val="32"/>
          <w:u w:val="single"/>
        </w:rPr>
        <w:t xml:space="preserve"> </w:t>
      </w:r>
      <w:r>
        <w:rPr>
          <w:rFonts w:ascii="仿宋" w:hAnsi="仿宋" w:eastAsia="仿宋"/>
          <w:sz w:val="32"/>
          <w:szCs w:val="32"/>
          <w:u w:val="single"/>
        </w:rPr>
        <w:t xml:space="preserve">                    </w:t>
      </w:r>
    </w:p>
    <w:p>
      <w:pPr>
        <w:spacing w:line="360" w:lineRule="auto"/>
        <w:ind w:firstLine="566" w:firstLineChars="177"/>
        <w:rPr>
          <w:rFonts w:ascii="仿宋" w:hAnsi="仿宋" w:eastAsia="仿宋"/>
          <w:sz w:val="32"/>
          <w:szCs w:val="32"/>
        </w:rPr>
      </w:pPr>
      <w:r>
        <w:rPr>
          <w:rFonts w:hint="eastAsia" w:ascii="仿宋" w:hAnsi="仿宋" w:eastAsia="仿宋"/>
          <w:sz w:val="32"/>
          <w:szCs w:val="32"/>
        </w:rPr>
        <w:t>联</w:t>
      </w:r>
      <w:r>
        <w:rPr>
          <w:rFonts w:hint="eastAsia" w:ascii="仿宋" w:hAnsi="仿宋" w:eastAsia="仿宋"/>
          <w:sz w:val="32"/>
          <w:szCs w:val="32"/>
          <w:lang w:val="en-US" w:eastAsia="zh-CN"/>
        </w:rPr>
        <w:t xml:space="preserve"> </w:t>
      </w:r>
      <w:r>
        <w:rPr>
          <w:rFonts w:hint="eastAsia" w:ascii="仿宋" w:hAnsi="仿宋" w:eastAsia="仿宋"/>
          <w:sz w:val="32"/>
          <w:szCs w:val="32"/>
        </w:rPr>
        <w:t>系</w:t>
      </w:r>
      <w:r>
        <w:rPr>
          <w:rFonts w:hint="eastAsia" w:ascii="仿宋" w:hAnsi="仿宋" w:eastAsia="仿宋"/>
          <w:sz w:val="32"/>
          <w:szCs w:val="32"/>
          <w:lang w:val="en-US" w:eastAsia="zh-CN"/>
        </w:rPr>
        <w:t xml:space="preserve"> </w:t>
      </w:r>
      <w:r>
        <w:rPr>
          <w:rFonts w:hint="eastAsia" w:ascii="仿宋" w:hAnsi="仿宋" w:eastAsia="仿宋"/>
          <w:sz w:val="32"/>
          <w:szCs w:val="32"/>
        </w:rPr>
        <w:t>人：</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 xml:space="preserve"> </w:t>
      </w:r>
    </w:p>
    <w:p>
      <w:pPr>
        <w:spacing w:line="360" w:lineRule="auto"/>
        <w:ind w:firstLine="566" w:firstLineChars="177"/>
        <w:rPr>
          <w:rFonts w:ascii="仿宋" w:hAnsi="仿宋" w:eastAsia="仿宋"/>
          <w:sz w:val="32"/>
          <w:szCs w:val="32"/>
        </w:rPr>
      </w:pPr>
      <w:r>
        <w:rPr>
          <w:rFonts w:hint="eastAsia" w:ascii="仿宋" w:hAnsi="仿宋" w:eastAsia="仿宋"/>
          <w:sz w:val="32"/>
          <w:szCs w:val="32"/>
        </w:rPr>
        <w:t>联系电话：</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 xml:space="preserve">          </w:t>
      </w:r>
      <w:r>
        <w:rPr>
          <w:rFonts w:ascii="仿宋" w:hAnsi="仿宋" w:eastAsia="仿宋"/>
          <w:sz w:val="32"/>
          <w:szCs w:val="32"/>
          <w:u w:val="single"/>
        </w:rPr>
        <w:t xml:space="preserve">      </w:t>
      </w:r>
    </w:p>
    <w:p>
      <w:pPr>
        <w:spacing w:line="360" w:lineRule="auto"/>
        <w:ind w:firstLine="566" w:firstLineChars="177"/>
        <w:rPr>
          <w:rFonts w:ascii="仿宋" w:hAnsi="仿宋" w:eastAsia="仿宋"/>
          <w:sz w:val="32"/>
          <w:szCs w:val="32"/>
          <w:u w:val="single"/>
        </w:rPr>
      </w:pPr>
      <w:r>
        <w:rPr>
          <w:rFonts w:hint="eastAsia" w:ascii="仿宋" w:hAnsi="仿宋" w:eastAsia="仿宋"/>
          <w:sz w:val="32"/>
          <w:szCs w:val="32"/>
        </w:rPr>
        <w:t>日</w:t>
      </w:r>
      <w:r>
        <w:rPr>
          <w:rFonts w:hint="eastAsia" w:ascii="仿宋" w:hAnsi="仿宋" w:eastAsia="仿宋"/>
          <w:sz w:val="32"/>
          <w:szCs w:val="32"/>
          <w:lang w:val="en-US" w:eastAsia="zh-CN"/>
        </w:rPr>
        <w:t xml:space="preserve"> </w:t>
      </w:r>
      <w:r>
        <w:rPr>
          <w:rFonts w:hint="eastAsia" w:ascii="仿宋" w:hAnsi="仿宋" w:eastAsia="仿宋"/>
          <w:sz w:val="32"/>
          <w:szCs w:val="32"/>
        </w:rPr>
        <w:t>期：</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 xml:space="preserve">             </w:t>
      </w:r>
      <w:r>
        <w:rPr>
          <w:rFonts w:ascii="仿宋" w:hAnsi="仿宋" w:eastAsia="仿宋"/>
          <w:sz w:val="32"/>
          <w:szCs w:val="32"/>
          <w:u w:val="single"/>
        </w:rPr>
        <w:t xml:space="preserve">      </w:t>
      </w:r>
    </w:p>
    <w:p>
      <w:pPr>
        <w:pStyle w:val="2"/>
        <w:ind w:left="0" w:leftChars="0" w:firstLine="0"/>
      </w:pPr>
    </w:p>
    <w:p>
      <w:pPr>
        <w:pStyle w:val="2"/>
        <w:ind w:left="0" w:leftChars="0" w:firstLine="0"/>
      </w:pPr>
    </w:p>
    <w:p>
      <w:pPr>
        <w:pStyle w:val="32"/>
        <w:numPr>
          <w:ilvl w:val="0"/>
          <w:numId w:val="2"/>
        </w:numPr>
        <w:spacing w:line="360" w:lineRule="auto"/>
        <w:ind w:left="420" w:firstLineChars="0"/>
        <w:outlineLvl w:val="1"/>
        <w:rPr>
          <w:rFonts w:ascii="仿宋" w:hAnsi="仿宋" w:eastAsia="仿宋"/>
          <w:b/>
          <w:bCs/>
          <w:sz w:val="28"/>
          <w:szCs w:val="44"/>
        </w:rPr>
      </w:pPr>
      <w:r>
        <w:rPr>
          <w:rFonts w:ascii="仿宋" w:hAnsi="仿宋" w:eastAsia="仿宋"/>
          <w:b/>
          <w:bCs/>
          <w:sz w:val="28"/>
          <w:szCs w:val="44"/>
        </w:rPr>
        <w:t>报价函</w:t>
      </w:r>
    </w:p>
    <w:p>
      <w:pPr>
        <w:spacing w:line="360" w:lineRule="auto"/>
        <w:jc w:val="center"/>
        <w:rPr>
          <w:rFonts w:ascii="仿宋" w:hAnsi="仿宋" w:eastAsia="仿宋"/>
          <w:sz w:val="44"/>
          <w:szCs w:val="44"/>
        </w:rPr>
      </w:pPr>
      <w:r>
        <w:rPr>
          <w:rFonts w:ascii="仿宋" w:hAnsi="仿宋" w:eastAsia="仿宋"/>
          <w:sz w:val="44"/>
          <w:szCs w:val="44"/>
        </w:rPr>
        <w:t>报价函</w:t>
      </w:r>
    </w:p>
    <w:p>
      <w:pPr>
        <w:spacing w:line="360" w:lineRule="auto"/>
        <w:ind w:firstLine="560"/>
        <w:rPr>
          <w:rFonts w:ascii="仿宋" w:hAnsi="仿宋" w:eastAsia="仿宋"/>
          <w:sz w:val="32"/>
          <w:szCs w:val="32"/>
        </w:rPr>
      </w:pPr>
    </w:p>
    <w:p>
      <w:pPr>
        <w:spacing w:line="360" w:lineRule="auto"/>
        <w:rPr>
          <w:rFonts w:ascii="仿宋" w:hAnsi="仿宋" w:eastAsia="仿宋"/>
          <w:sz w:val="32"/>
          <w:szCs w:val="32"/>
        </w:rPr>
      </w:pPr>
      <w:r>
        <w:rPr>
          <w:rFonts w:ascii="仿宋" w:hAnsi="仿宋" w:eastAsia="仿宋"/>
          <w:sz w:val="32"/>
          <w:szCs w:val="32"/>
        </w:rPr>
        <w:t>东莞市新东欣环保投资有限公司：</w:t>
      </w:r>
    </w:p>
    <w:p>
      <w:pPr>
        <w:spacing w:line="360" w:lineRule="auto"/>
        <w:ind w:firstLine="640" w:firstLineChars="200"/>
        <w:rPr>
          <w:rFonts w:ascii="仿宋" w:hAnsi="仿宋" w:eastAsia="仿宋"/>
          <w:sz w:val="32"/>
          <w:szCs w:val="32"/>
        </w:rPr>
      </w:pPr>
      <w:r>
        <w:rPr>
          <w:rFonts w:ascii="仿宋" w:hAnsi="仿宋" w:eastAsia="仿宋"/>
          <w:sz w:val="32"/>
          <w:szCs w:val="32"/>
        </w:rPr>
        <w:t>针对贵司关于</w:t>
      </w:r>
      <w:r>
        <w:rPr>
          <w:rFonts w:hint="eastAsia" w:ascii="仿宋" w:hAnsi="仿宋" w:eastAsia="仿宋"/>
          <w:b/>
          <w:bCs/>
          <w:sz w:val="32"/>
          <w:szCs w:val="32"/>
        </w:rPr>
        <w:t>东莞市海心沙资源综合利用中心绿色工业服务项目检测中心阿贝尔闪点仪（ABA4）采购项目</w:t>
      </w:r>
      <w:r>
        <w:rPr>
          <w:rFonts w:ascii="仿宋" w:hAnsi="仿宋" w:eastAsia="仿宋"/>
          <w:sz w:val="32"/>
          <w:szCs w:val="32"/>
        </w:rPr>
        <w:t>，我司愿意以价税合计人民币xxxx元（大写），</w:t>
      </w:r>
      <w:r>
        <w:rPr>
          <w:rFonts w:ascii="Calibri" w:hAnsi="Calibri" w:eastAsia="仿宋" w:cs="Calibri"/>
          <w:sz w:val="32"/>
          <w:szCs w:val="32"/>
        </w:rPr>
        <w:t>¥</w:t>
      </w:r>
      <w:r>
        <w:rPr>
          <w:rFonts w:ascii="仿宋" w:hAnsi="仿宋" w:eastAsia="仿宋"/>
          <w:sz w:val="32"/>
          <w:szCs w:val="32"/>
        </w:rPr>
        <w:t>xxx.00（小写）</w:t>
      </w:r>
      <w:r>
        <w:rPr>
          <w:rFonts w:hint="eastAsia" w:ascii="仿宋" w:hAnsi="仿宋" w:eastAsia="仿宋"/>
          <w:sz w:val="32"/>
          <w:szCs w:val="32"/>
        </w:rPr>
        <w:t>承接此项目的供货及服务工作</w:t>
      </w:r>
      <w:r>
        <w:rPr>
          <w:rFonts w:ascii="仿宋" w:hAnsi="仿宋" w:eastAsia="仿宋"/>
          <w:sz w:val="32"/>
          <w:szCs w:val="32"/>
        </w:rPr>
        <w:t>。</w:t>
      </w:r>
      <w:r>
        <w:rPr>
          <w:rFonts w:hint="eastAsia" w:ascii="仿宋" w:hAnsi="仿宋" w:eastAsia="仿宋"/>
          <w:sz w:val="32"/>
          <w:szCs w:val="32"/>
        </w:rPr>
        <w:t>本报价含税，开具增值税专用发票，票面税率    %。</w:t>
      </w: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名称（加盖公章）：</w:t>
      </w:r>
    </w:p>
    <w:p>
      <w:pPr>
        <w:wordWrap w:val="0"/>
        <w:spacing w:line="360" w:lineRule="auto"/>
        <w:rPr>
          <w:rFonts w:ascii="仿宋" w:hAnsi="仿宋" w:eastAsia="仿宋"/>
          <w:sz w:val="32"/>
          <w:szCs w:val="32"/>
        </w:rPr>
      </w:pPr>
      <w:r>
        <w:rPr>
          <w:rFonts w:ascii="仿宋" w:hAnsi="仿宋" w:eastAsia="仿宋"/>
          <w:sz w:val="32"/>
          <w:szCs w:val="32"/>
        </w:rPr>
        <w:t>法定代表人（签名或盖章）：</w:t>
      </w:r>
    </w:p>
    <w:p>
      <w:pPr>
        <w:wordWrap w:val="0"/>
        <w:spacing w:line="360" w:lineRule="auto"/>
        <w:rPr>
          <w:rFonts w:ascii="仿宋" w:hAnsi="仿宋" w:eastAsia="仿宋"/>
          <w:sz w:val="32"/>
          <w:szCs w:val="32"/>
        </w:rPr>
      </w:pPr>
      <w:r>
        <w:rPr>
          <w:rFonts w:ascii="仿宋" w:hAnsi="仿宋" w:eastAsia="仿宋"/>
          <w:sz w:val="32"/>
          <w:szCs w:val="32"/>
        </w:rPr>
        <w:t>联系人：</w:t>
      </w:r>
    </w:p>
    <w:p>
      <w:pPr>
        <w:wordWrap w:val="0"/>
        <w:spacing w:line="360" w:lineRule="auto"/>
        <w:rPr>
          <w:rFonts w:ascii="仿宋" w:hAnsi="仿宋" w:eastAsia="仿宋"/>
          <w:sz w:val="32"/>
          <w:szCs w:val="32"/>
        </w:rPr>
      </w:pPr>
      <w:r>
        <w:rPr>
          <w:rFonts w:ascii="仿宋" w:hAnsi="仿宋" w:eastAsia="仿宋"/>
          <w:sz w:val="32"/>
          <w:szCs w:val="32"/>
        </w:rPr>
        <w:t>联系电话：</w:t>
      </w:r>
    </w:p>
    <w:p>
      <w:pPr>
        <w:wordWrap w:val="0"/>
        <w:spacing w:line="360" w:lineRule="auto"/>
        <w:rPr>
          <w:rFonts w:ascii="仿宋" w:hAnsi="仿宋" w:eastAsia="仿宋"/>
          <w:sz w:val="32"/>
          <w:szCs w:val="32"/>
        </w:rPr>
      </w:pPr>
      <w:r>
        <w:rPr>
          <w:rFonts w:ascii="仿宋" w:hAnsi="仿宋" w:eastAsia="仿宋"/>
          <w:sz w:val="32"/>
          <w:szCs w:val="32"/>
        </w:rPr>
        <w:t>日期：</w:t>
      </w: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spacing w:line="360" w:lineRule="auto"/>
        <w:rPr>
          <w:rFonts w:ascii="宋体" w:hAnsi="宋体"/>
          <w:sz w:val="36"/>
          <w:szCs w:val="36"/>
        </w:rPr>
      </w:pPr>
    </w:p>
    <w:p>
      <w:pPr>
        <w:spacing w:line="360" w:lineRule="auto"/>
        <w:jc w:val="center"/>
        <w:rPr>
          <w:rFonts w:ascii="宋体" w:hAnsi="宋体"/>
          <w:sz w:val="32"/>
          <w:szCs w:val="32"/>
        </w:rPr>
      </w:pPr>
      <w:r>
        <w:rPr>
          <w:rFonts w:hint="eastAsia" w:ascii="宋体" w:hAnsi="宋体"/>
          <w:sz w:val="36"/>
          <w:szCs w:val="36"/>
        </w:rPr>
        <w:t>报价清单（格式自拟）</w:t>
      </w: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wordWrap w:val="0"/>
        <w:spacing w:line="360" w:lineRule="auto"/>
        <w:rPr>
          <w:rFonts w:ascii="仿宋" w:hAnsi="仿宋" w:eastAsia="仿宋"/>
          <w:sz w:val="32"/>
          <w:szCs w:val="32"/>
        </w:rPr>
      </w:pPr>
    </w:p>
    <w:p>
      <w:pPr>
        <w:snapToGrid w:val="0"/>
        <w:rPr>
          <w:rFonts w:asciiTheme="minorEastAsia" w:hAnsiTheme="minorEastAsia" w:eastAsiaTheme="minorEastAsia"/>
          <w:b/>
          <w:sz w:val="52"/>
          <w:szCs w:val="52"/>
        </w:rPr>
      </w:pPr>
    </w:p>
    <w:p>
      <w:pPr>
        <w:snapToGrid w:val="0"/>
        <w:jc w:val="center"/>
        <w:rPr>
          <w:rFonts w:asciiTheme="minorEastAsia" w:hAnsiTheme="minorEastAsia" w:eastAsiaTheme="minorEastAsia"/>
          <w:b/>
          <w:sz w:val="52"/>
          <w:szCs w:val="52"/>
        </w:rPr>
      </w:pPr>
    </w:p>
    <w:p>
      <w:pPr>
        <w:snapToGrid w:val="0"/>
        <w:jc w:val="center"/>
        <w:rPr>
          <w:rFonts w:asciiTheme="minorEastAsia" w:hAnsiTheme="minorEastAsia" w:eastAsiaTheme="minorEastAsia"/>
          <w:b/>
          <w:sz w:val="52"/>
          <w:szCs w:val="52"/>
        </w:rPr>
      </w:pPr>
    </w:p>
    <w:p>
      <w:pPr>
        <w:snapToGrid w:val="0"/>
        <w:jc w:val="center"/>
        <w:rPr>
          <w:rFonts w:asciiTheme="minorEastAsia" w:hAnsiTheme="minorEastAsia" w:eastAsiaTheme="minorEastAsia"/>
          <w:b/>
          <w:sz w:val="52"/>
          <w:szCs w:val="52"/>
        </w:rPr>
      </w:pPr>
    </w:p>
    <w:p>
      <w:pPr>
        <w:pStyle w:val="32"/>
        <w:spacing w:line="360" w:lineRule="auto"/>
        <w:ind w:firstLine="0" w:firstLineChars="0"/>
        <w:outlineLvl w:val="1"/>
        <w:rPr>
          <w:rFonts w:ascii="仿宋" w:hAnsi="仿宋" w:eastAsia="仿宋"/>
          <w:b/>
          <w:bCs/>
          <w:sz w:val="28"/>
          <w:szCs w:val="44"/>
        </w:rPr>
      </w:pPr>
    </w:p>
    <w:p>
      <w:pPr>
        <w:pStyle w:val="32"/>
        <w:spacing w:line="360" w:lineRule="auto"/>
        <w:ind w:firstLine="0" w:firstLineChars="0"/>
        <w:outlineLvl w:val="1"/>
        <w:rPr>
          <w:rFonts w:ascii="仿宋" w:hAnsi="仿宋" w:eastAsia="仿宋"/>
          <w:b/>
          <w:bCs/>
          <w:sz w:val="28"/>
          <w:szCs w:val="44"/>
        </w:rPr>
      </w:pPr>
    </w:p>
    <w:p>
      <w:pPr>
        <w:pStyle w:val="32"/>
        <w:numPr>
          <w:ilvl w:val="0"/>
          <w:numId w:val="2"/>
        </w:numPr>
        <w:spacing w:line="360" w:lineRule="auto"/>
        <w:ind w:left="420" w:firstLineChars="0"/>
        <w:outlineLvl w:val="1"/>
        <w:rPr>
          <w:rFonts w:ascii="仿宋" w:hAnsi="仿宋" w:eastAsia="仿宋"/>
          <w:b/>
          <w:bCs/>
          <w:sz w:val="28"/>
          <w:szCs w:val="44"/>
        </w:rPr>
      </w:pPr>
      <w:r>
        <w:rPr>
          <w:rFonts w:ascii="仿宋" w:hAnsi="仿宋" w:eastAsia="仿宋"/>
          <w:b/>
          <w:bCs/>
          <w:sz w:val="28"/>
          <w:szCs w:val="44"/>
        </w:rPr>
        <w:t>法人证明</w:t>
      </w:r>
    </w:p>
    <w:p>
      <w:pPr>
        <w:spacing w:line="360" w:lineRule="auto"/>
        <w:jc w:val="center"/>
        <w:rPr>
          <w:rFonts w:ascii="仿宋" w:hAnsi="仿宋" w:eastAsia="仿宋"/>
          <w:b/>
          <w:bCs/>
          <w:sz w:val="32"/>
          <w:szCs w:val="32"/>
        </w:rPr>
      </w:pPr>
      <w:r>
        <w:rPr>
          <w:rFonts w:ascii="仿宋" w:hAnsi="仿宋" w:eastAsia="仿宋"/>
          <w:b/>
          <w:bCs/>
          <w:sz w:val="32"/>
          <w:szCs w:val="32"/>
        </w:rPr>
        <w:t>法定代表人身份证明书及法定代表人身份证复印件</w:t>
      </w:r>
    </w:p>
    <w:p>
      <w:pPr>
        <w:spacing w:line="360" w:lineRule="auto"/>
        <w:rPr>
          <w:rFonts w:ascii="仿宋" w:hAnsi="仿宋" w:eastAsia="仿宋"/>
          <w:sz w:val="32"/>
          <w:szCs w:val="32"/>
        </w:rPr>
      </w:pPr>
    </w:p>
    <w:p>
      <w:pPr>
        <w:pStyle w:val="25"/>
        <w:spacing w:line="360" w:lineRule="auto"/>
        <w:ind w:firstLine="0" w:firstLineChars="0"/>
        <w:rPr>
          <w:rFonts w:ascii="仿宋" w:hAnsi="仿宋" w:eastAsia="仿宋" w:cs="Times New Roman"/>
          <w:sz w:val="32"/>
          <w:szCs w:val="32"/>
        </w:rPr>
      </w:pPr>
      <w:r>
        <w:rPr>
          <w:sz w:val="32"/>
          <w:szCs w:val="32"/>
        </w:rPr>
        <w:t>东莞市新东欣环保投资有限公司</w:t>
      </w:r>
      <w:r>
        <w:rPr>
          <w:rFonts w:ascii="仿宋" w:hAnsi="仿宋" w:eastAsia="仿宋" w:cs="Times New Roman"/>
          <w:sz w:val="32"/>
          <w:szCs w:val="32"/>
        </w:rPr>
        <w:t>：</w:t>
      </w:r>
    </w:p>
    <w:p>
      <w:pPr>
        <w:pStyle w:val="25"/>
        <w:spacing w:line="360" w:lineRule="auto"/>
        <w:ind w:firstLine="659"/>
        <w:rPr>
          <w:rFonts w:ascii="仿宋" w:hAnsi="仿宋" w:eastAsia="仿宋" w:cs="Times New Roman"/>
          <w:sz w:val="32"/>
          <w:szCs w:val="32"/>
        </w:rPr>
      </w:pPr>
      <w:r>
        <w:rPr>
          <w:rFonts w:ascii="仿宋" w:hAnsi="仿宋" w:eastAsia="仿宋" w:cs="Times New Roman"/>
          <w:sz w:val="32"/>
          <w:szCs w:val="32"/>
        </w:rPr>
        <w:t>本证明书声明：注册于</w:t>
      </w:r>
      <w:r>
        <w:rPr>
          <w:rFonts w:ascii="仿宋" w:hAnsi="仿宋" w:eastAsia="仿宋" w:cs="Times New Roman"/>
          <w:sz w:val="32"/>
          <w:szCs w:val="32"/>
          <w:u w:val="single"/>
        </w:rPr>
        <w:t xml:space="preserve">     </w:t>
      </w:r>
      <w:r>
        <w:rPr>
          <w:rFonts w:ascii="仿宋" w:hAnsi="仿宋" w:eastAsia="仿宋" w:cs="Times New Roman"/>
          <w:sz w:val="32"/>
          <w:szCs w:val="32"/>
        </w:rPr>
        <w:t>（国家名称）的</w:t>
      </w:r>
      <w:r>
        <w:rPr>
          <w:rFonts w:ascii="仿宋" w:hAnsi="仿宋" w:eastAsia="仿宋" w:cs="Times New Roman"/>
          <w:sz w:val="32"/>
          <w:szCs w:val="32"/>
          <w:u w:val="single"/>
        </w:rPr>
        <w:t>　　</w:t>
      </w:r>
      <w:r>
        <w:rPr>
          <w:rFonts w:ascii="仿宋" w:hAnsi="仿宋" w:eastAsia="仿宋" w:cs="Times New Roman"/>
          <w:sz w:val="32"/>
          <w:szCs w:val="32"/>
        </w:rPr>
        <w:t>（</w:t>
      </w:r>
      <w:r>
        <w:rPr>
          <w:rFonts w:hint="eastAsia" w:ascii="仿宋" w:hAnsi="仿宋" w:eastAsia="仿宋" w:cs="Times New Roman"/>
          <w:sz w:val="32"/>
          <w:szCs w:val="32"/>
        </w:rPr>
        <w:t>报价人</w:t>
      </w:r>
      <w:r>
        <w:rPr>
          <w:rFonts w:ascii="仿宋" w:hAnsi="仿宋" w:eastAsia="仿宋" w:cs="Times New Roman"/>
          <w:sz w:val="32"/>
          <w:szCs w:val="32"/>
        </w:rPr>
        <w:t>名称）在下面签字的</w:t>
      </w:r>
      <w:r>
        <w:rPr>
          <w:rFonts w:ascii="仿宋" w:hAnsi="仿宋" w:eastAsia="仿宋" w:cs="Times New Roman"/>
          <w:sz w:val="32"/>
          <w:szCs w:val="32"/>
          <w:u w:val="single"/>
        </w:rPr>
        <w:t>　　　　　</w:t>
      </w:r>
      <w:r>
        <w:rPr>
          <w:rFonts w:ascii="仿宋" w:hAnsi="仿宋" w:eastAsia="仿宋" w:cs="Times New Roman"/>
          <w:sz w:val="32"/>
          <w:szCs w:val="32"/>
        </w:rPr>
        <w:t>（法定代表人姓名、职务）为本公司的合法代表人（</w:t>
      </w:r>
      <w:r>
        <w:rPr>
          <w:rFonts w:ascii="仿宋" w:hAnsi="仿宋" w:eastAsia="仿宋" w:cs="Times New Roman"/>
          <w:b/>
          <w:bCs/>
          <w:sz w:val="32"/>
          <w:szCs w:val="32"/>
        </w:rPr>
        <w:t>须附法定代表人身份证复印件</w:t>
      </w:r>
      <w:r>
        <w:rPr>
          <w:rFonts w:ascii="仿宋" w:hAnsi="仿宋" w:eastAsia="仿宋" w:cs="Times New Roman"/>
          <w:sz w:val="32"/>
          <w:szCs w:val="32"/>
        </w:rPr>
        <w:t>）。</w:t>
      </w:r>
    </w:p>
    <w:p>
      <w:pPr>
        <w:spacing w:line="360" w:lineRule="auto"/>
        <w:ind w:firstLine="480" w:firstLineChars="150"/>
        <w:rPr>
          <w:rFonts w:ascii="仿宋" w:hAnsi="仿宋" w:eastAsia="仿宋"/>
          <w:sz w:val="32"/>
          <w:szCs w:val="32"/>
        </w:rPr>
      </w:pPr>
      <w:r>
        <w:rPr>
          <w:rFonts w:ascii="仿宋" w:hAnsi="仿宋" w:eastAsia="仿宋"/>
          <w:sz w:val="32"/>
          <w:szCs w:val="32"/>
        </w:rPr>
        <w:t>特此证明</w:t>
      </w: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名称（加盖公章）：</w:t>
      </w:r>
    </w:p>
    <w:p>
      <w:pPr>
        <w:spacing w:line="360" w:lineRule="auto"/>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地址：</w:t>
      </w:r>
    </w:p>
    <w:p>
      <w:pPr>
        <w:spacing w:line="360" w:lineRule="auto"/>
        <w:rPr>
          <w:rFonts w:ascii="仿宋" w:hAnsi="仿宋" w:eastAsia="仿宋"/>
          <w:sz w:val="32"/>
          <w:szCs w:val="32"/>
        </w:rPr>
      </w:pPr>
      <w:r>
        <w:rPr>
          <w:rFonts w:ascii="仿宋" w:hAnsi="仿宋" w:eastAsia="仿宋"/>
          <w:sz w:val="32"/>
          <w:szCs w:val="32"/>
        </w:rPr>
        <w:t>法定代表人（签名或盖私章）：</w:t>
      </w:r>
    </w:p>
    <w:p>
      <w:pPr>
        <w:spacing w:line="360" w:lineRule="auto"/>
        <w:rPr>
          <w:rFonts w:ascii="仿宋" w:hAnsi="仿宋" w:eastAsia="仿宋"/>
          <w:sz w:val="32"/>
          <w:szCs w:val="32"/>
        </w:rPr>
      </w:pPr>
      <w:r>
        <w:rPr>
          <w:rFonts w:ascii="仿宋" w:hAnsi="仿宋" w:eastAsia="仿宋"/>
          <w:sz w:val="32"/>
          <w:szCs w:val="32"/>
        </w:rPr>
        <w:t>职务：</w:t>
      </w:r>
    </w:p>
    <w:p>
      <w:pPr>
        <w:spacing w:line="360" w:lineRule="auto"/>
        <w:rPr>
          <w:rFonts w:ascii="仿宋" w:hAnsi="仿宋" w:eastAsia="仿宋"/>
          <w:sz w:val="32"/>
          <w:szCs w:val="32"/>
        </w:rPr>
      </w:pPr>
    </w:p>
    <w:p>
      <w:pPr>
        <w:widowControl/>
        <w:spacing w:line="360" w:lineRule="auto"/>
        <w:rPr>
          <w:rFonts w:ascii="仿宋" w:hAnsi="仿宋" w:eastAsia="仿宋"/>
          <w:sz w:val="32"/>
          <w:szCs w:val="32"/>
        </w:rPr>
      </w:pPr>
      <w:r>
        <w:rPr>
          <w:rFonts w:ascii="仿宋" w:hAnsi="仿宋" w:eastAsia="仿宋"/>
          <w:sz w:val="32"/>
          <w:szCs w:val="32"/>
        </w:rPr>
        <w:br w:type="page"/>
      </w:r>
    </w:p>
    <w:p>
      <w:pPr>
        <w:pStyle w:val="32"/>
        <w:numPr>
          <w:ilvl w:val="0"/>
          <w:numId w:val="2"/>
        </w:numPr>
        <w:spacing w:line="360" w:lineRule="auto"/>
        <w:ind w:left="420" w:firstLineChars="0"/>
        <w:outlineLvl w:val="1"/>
        <w:rPr>
          <w:rFonts w:ascii="仿宋" w:hAnsi="仿宋" w:eastAsia="仿宋"/>
          <w:b/>
          <w:bCs/>
          <w:sz w:val="28"/>
          <w:szCs w:val="44"/>
        </w:rPr>
      </w:pPr>
      <w:r>
        <w:rPr>
          <w:rFonts w:ascii="仿宋" w:hAnsi="仿宋" w:eastAsia="仿宋"/>
          <w:b/>
          <w:bCs/>
          <w:sz w:val="28"/>
          <w:szCs w:val="44"/>
        </w:rPr>
        <w:t>法人授权书</w:t>
      </w:r>
    </w:p>
    <w:p>
      <w:pPr>
        <w:widowControl/>
        <w:spacing w:line="360" w:lineRule="auto"/>
        <w:jc w:val="center"/>
        <w:rPr>
          <w:rFonts w:ascii="仿宋" w:hAnsi="仿宋" w:eastAsia="仿宋"/>
          <w:sz w:val="32"/>
          <w:szCs w:val="32"/>
        </w:rPr>
      </w:pPr>
      <w:r>
        <w:rPr>
          <w:rFonts w:ascii="仿宋" w:hAnsi="仿宋" w:eastAsia="仿宋"/>
          <w:b/>
          <w:sz w:val="32"/>
          <w:szCs w:val="32"/>
        </w:rPr>
        <w:t>授权委托书</w:t>
      </w:r>
    </w:p>
    <w:p>
      <w:pPr>
        <w:pStyle w:val="25"/>
        <w:spacing w:line="360" w:lineRule="auto"/>
        <w:ind w:firstLine="0" w:firstLineChars="0"/>
        <w:rPr>
          <w:rFonts w:ascii="仿宋" w:hAnsi="仿宋" w:eastAsia="仿宋" w:cs="Times New Roman"/>
          <w:sz w:val="32"/>
          <w:szCs w:val="32"/>
        </w:rPr>
      </w:pPr>
    </w:p>
    <w:p>
      <w:pPr>
        <w:pStyle w:val="25"/>
        <w:spacing w:line="360" w:lineRule="auto"/>
        <w:ind w:firstLine="0" w:firstLineChars="0"/>
        <w:rPr>
          <w:rFonts w:ascii="仿宋" w:hAnsi="仿宋" w:eastAsia="仿宋" w:cs="Times New Roman"/>
          <w:sz w:val="32"/>
          <w:szCs w:val="32"/>
        </w:rPr>
      </w:pPr>
      <w:r>
        <w:rPr>
          <w:sz w:val="32"/>
          <w:szCs w:val="32"/>
        </w:rPr>
        <w:t>东莞市新东欣环保投资有限公司</w:t>
      </w:r>
      <w:r>
        <w:rPr>
          <w:rFonts w:ascii="仿宋" w:hAnsi="仿宋" w:eastAsia="仿宋" w:cs="Times New Roman"/>
          <w:sz w:val="32"/>
          <w:szCs w:val="32"/>
        </w:rPr>
        <w:t>：</w:t>
      </w:r>
    </w:p>
    <w:p>
      <w:pPr>
        <w:pStyle w:val="25"/>
        <w:spacing w:line="360" w:lineRule="auto"/>
        <w:ind w:firstLine="659"/>
        <w:rPr>
          <w:rFonts w:ascii="仿宋" w:hAnsi="仿宋" w:eastAsia="仿宋" w:cs="Times New Roman"/>
          <w:sz w:val="32"/>
          <w:szCs w:val="32"/>
        </w:rPr>
      </w:pPr>
      <w:r>
        <w:rPr>
          <w:rFonts w:ascii="仿宋" w:hAnsi="仿宋" w:eastAsia="仿宋" w:cs="Times New Roman"/>
          <w:sz w:val="32"/>
          <w:szCs w:val="32"/>
        </w:rPr>
        <w:t>本委托书声明：在下面签字的</w:t>
      </w:r>
      <w:r>
        <w:rPr>
          <w:rFonts w:ascii="仿宋" w:hAnsi="仿宋" w:eastAsia="仿宋" w:cs="Times New Roman"/>
          <w:sz w:val="32"/>
          <w:szCs w:val="32"/>
          <w:u w:val="single"/>
        </w:rPr>
        <w:t>（</w:t>
      </w:r>
      <w:r>
        <w:rPr>
          <w:rFonts w:hint="eastAsia" w:ascii="仿宋" w:hAnsi="仿宋" w:eastAsia="仿宋" w:cs="Times New Roman"/>
          <w:sz w:val="32"/>
          <w:szCs w:val="32"/>
          <w:u w:val="single"/>
        </w:rPr>
        <w:t>填写</w:t>
      </w:r>
      <w:r>
        <w:rPr>
          <w:rFonts w:ascii="仿宋" w:hAnsi="仿宋" w:eastAsia="仿宋" w:cs="Times New Roman"/>
          <w:sz w:val="32"/>
          <w:szCs w:val="32"/>
          <w:u w:val="single"/>
        </w:rPr>
        <w:t>法定代表人姓名、职务）</w:t>
      </w:r>
      <w:r>
        <w:rPr>
          <w:rFonts w:ascii="仿宋" w:hAnsi="仿宋" w:eastAsia="仿宋" w:cs="Times New Roman"/>
          <w:sz w:val="32"/>
          <w:szCs w:val="32"/>
        </w:rPr>
        <w:t>代表</w:t>
      </w:r>
      <w:r>
        <w:rPr>
          <w:rFonts w:ascii="仿宋" w:hAnsi="仿宋" w:eastAsia="仿宋" w:cs="Times New Roman"/>
          <w:sz w:val="32"/>
          <w:szCs w:val="32"/>
          <w:u w:val="single"/>
        </w:rPr>
        <w:t>（</w:t>
      </w:r>
      <w:r>
        <w:rPr>
          <w:rFonts w:hint="eastAsia" w:ascii="仿宋" w:hAnsi="仿宋" w:eastAsia="仿宋" w:cs="Times New Roman"/>
          <w:sz w:val="32"/>
          <w:szCs w:val="32"/>
          <w:u w:val="single"/>
        </w:rPr>
        <w:t>填写报价人</w:t>
      </w:r>
      <w:r>
        <w:rPr>
          <w:rFonts w:ascii="仿宋" w:hAnsi="仿宋" w:eastAsia="仿宋" w:cs="Times New Roman"/>
          <w:sz w:val="32"/>
          <w:szCs w:val="32"/>
          <w:u w:val="single"/>
        </w:rPr>
        <w:t>名称）</w:t>
      </w:r>
      <w:r>
        <w:rPr>
          <w:rFonts w:ascii="仿宋" w:hAnsi="仿宋" w:eastAsia="仿宋" w:cs="Times New Roman"/>
          <w:sz w:val="32"/>
          <w:szCs w:val="32"/>
        </w:rPr>
        <w:t>委托在下面签字的</w:t>
      </w:r>
      <w:r>
        <w:rPr>
          <w:rFonts w:ascii="仿宋" w:hAnsi="仿宋" w:eastAsia="仿宋" w:cs="Times New Roman"/>
          <w:sz w:val="32"/>
          <w:szCs w:val="32"/>
          <w:u w:val="single"/>
        </w:rPr>
        <w:t>（</w:t>
      </w:r>
      <w:r>
        <w:rPr>
          <w:rFonts w:hint="eastAsia" w:ascii="仿宋" w:hAnsi="仿宋" w:eastAsia="仿宋" w:cs="Times New Roman"/>
          <w:sz w:val="32"/>
          <w:szCs w:val="32"/>
          <w:u w:val="single"/>
        </w:rPr>
        <w:t>填写</w:t>
      </w:r>
      <w:r>
        <w:rPr>
          <w:rFonts w:ascii="仿宋" w:hAnsi="仿宋" w:eastAsia="仿宋" w:cs="Times New Roman"/>
          <w:sz w:val="32"/>
          <w:szCs w:val="32"/>
          <w:u w:val="single"/>
        </w:rPr>
        <w:t>受委托人的姓名、职务）</w:t>
      </w:r>
      <w:r>
        <w:rPr>
          <w:rFonts w:ascii="仿宋" w:hAnsi="仿宋" w:eastAsia="仿宋" w:cs="Times New Roman"/>
          <w:sz w:val="32"/>
          <w:szCs w:val="32"/>
        </w:rPr>
        <w:t>为本公司的合法代表人，就</w:t>
      </w:r>
      <w:r>
        <w:rPr>
          <w:rFonts w:hint="eastAsia" w:ascii="仿宋" w:hAnsi="仿宋" w:eastAsia="仿宋"/>
          <w:b/>
          <w:bCs/>
          <w:sz w:val="32"/>
          <w:szCs w:val="32"/>
        </w:rPr>
        <w:t>东莞市海心沙资源综合利用中心绿色工业服务项目检测中心阿贝尔闪点仪（ABA4）采购项目</w:t>
      </w:r>
      <w:r>
        <w:rPr>
          <w:rFonts w:ascii="仿宋" w:hAnsi="仿宋" w:eastAsia="仿宋" w:cs="Times New Roman"/>
          <w:sz w:val="32"/>
          <w:szCs w:val="32"/>
        </w:rPr>
        <w:t>等相关</w:t>
      </w:r>
      <w:r>
        <w:rPr>
          <w:rFonts w:hint="eastAsia" w:ascii="仿宋" w:hAnsi="仿宋" w:eastAsia="仿宋" w:cs="Times New Roman"/>
          <w:sz w:val="32"/>
          <w:szCs w:val="32"/>
        </w:rPr>
        <w:t>供货及服务</w:t>
      </w:r>
      <w:r>
        <w:rPr>
          <w:rFonts w:ascii="仿宋" w:hAnsi="仿宋" w:eastAsia="仿宋" w:cs="Times New Roman"/>
          <w:sz w:val="32"/>
          <w:szCs w:val="32"/>
        </w:rPr>
        <w:t>的谈判和合同的</w:t>
      </w:r>
      <w:r>
        <w:rPr>
          <w:rFonts w:hint="eastAsia" w:ascii="仿宋" w:hAnsi="仿宋" w:eastAsia="仿宋" w:cs="Times New Roman"/>
          <w:sz w:val="32"/>
          <w:szCs w:val="32"/>
        </w:rPr>
        <w:t>签订、</w:t>
      </w:r>
      <w:r>
        <w:rPr>
          <w:rFonts w:ascii="仿宋" w:hAnsi="仿宋" w:eastAsia="仿宋" w:cs="Times New Roman"/>
          <w:sz w:val="32"/>
          <w:szCs w:val="32"/>
        </w:rPr>
        <w:t>执行，以我方的名义处理一切与之有关的事宜（相关身份证复印件须附后）。</w:t>
      </w:r>
    </w:p>
    <w:p>
      <w:pPr>
        <w:pStyle w:val="25"/>
        <w:spacing w:line="360" w:lineRule="auto"/>
        <w:ind w:firstLine="659"/>
        <w:rPr>
          <w:rFonts w:ascii="仿宋" w:hAnsi="仿宋" w:eastAsia="仿宋" w:cs="Times New Roman"/>
          <w:sz w:val="32"/>
          <w:szCs w:val="32"/>
        </w:rPr>
      </w:pPr>
    </w:p>
    <w:p>
      <w:pPr>
        <w:pStyle w:val="25"/>
        <w:spacing w:line="360" w:lineRule="auto"/>
        <w:ind w:firstLine="659"/>
        <w:rPr>
          <w:rFonts w:ascii="仿宋" w:hAnsi="仿宋" w:eastAsia="仿宋" w:cs="Times New Roman"/>
          <w:sz w:val="32"/>
          <w:szCs w:val="32"/>
        </w:rPr>
      </w:pPr>
      <w:r>
        <w:rPr>
          <w:rFonts w:ascii="仿宋" w:hAnsi="仿宋" w:eastAsia="仿宋" w:cs="Times New Roman"/>
          <w:sz w:val="32"/>
          <w:szCs w:val="32"/>
        </w:rPr>
        <w:t>本委托书于</w:t>
      </w:r>
      <w:r>
        <w:rPr>
          <w:rFonts w:ascii="仿宋" w:hAnsi="仿宋" w:eastAsia="仿宋" w:cs="Times New Roman"/>
          <w:sz w:val="32"/>
          <w:szCs w:val="32"/>
          <w:u w:val="single"/>
        </w:rPr>
        <w:t>　</w:t>
      </w:r>
      <w:r>
        <w:rPr>
          <w:rFonts w:ascii="仿宋" w:hAnsi="仿宋" w:eastAsia="仿宋" w:cs="Times New Roman"/>
          <w:sz w:val="32"/>
          <w:szCs w:val="32"/>
        </w:rPr>
        <w:t>年</w:t>
      </w:r>
      <w:r>
        <w:rPr>
          <w:rFonts w:ascii="仿宋" w:hAnsi="仿宋" w:eastAsia="仿宋" w:cs="Times New Roman"/>
          <w:sz w:val="32"/>
          <w:szCs w:val="32"/>
          <w:u w:val="single"/>
        </w:rPr>
        <w:t>　</w:t>
      </w:r>
      <w:r>
        <w:rPr>
          <w:rFonts w:ascii="仿宋" w:hAnsi="仿宋" w:eastAsia="仿宋" w:cs="Times New Roman"/>
          <w:sz w:val="32"/>
          <w:szCs w:val="32"/>
        </w:rPr>
        <w:t>月</w:t>
      </w:r>
      <w:r>
        <w:rPr>
          <w:rFonts w:ascii="仿宋" w:hAnsi="仿宋" w:eastAsia="仿宋" w:cs="Times New Roman"/>
          <w:sz w:val="32"/>
          <w:szCs w:val="32"/>
          <w:u w:val="single"/>
        </w:rPr>
        <w:t>　</w:t>
      </w:r>
      <w:r>
        <w:rPr>
          <w:rFonts w:ascii="仿宋" w:hAnsi="仿宋" w:eastAsia="仿宋" w:cs="Times New Roman"/>
          <w:sz w:val="32"/>
          <w:szCs w:val="32"/>
        </w:rPr>
        <w:t>日至</w:t>
      </w:r>
      <w:r>
        <w:rPr>
          <w:rFonts w:ascii="仿宋" w:hAnsi="仿宋" w:eastAsia="仿宋" w:cs="Times New Roman"/>
          <w:sz w:val="32"/>
          <w:szCs w:val="32"/>
          <w:u w:val="single"/>
        </w:rPr>
        <w:t>　</w:t>
      </w:r>
      <w:r>
        <w:rPr>
          <w:rFonts w:ascii="仿宋" w:hAnsi="仿宋" w:eastAsia="仿宋" w:cs="Times New Roman"/>
          <w:sz w:val="32"/>
          <w:szCs w:val="32"/>
        </w:rPr>
        <w:t>年</w:t>
      </w:r>
      <w:r>
        <w:rPr>
          <w:rFonts w:ascii="仿宋" w:hAnsi="仿宋" w:eastAsia="仿宋" w:cs="Times New Roman"/>
          <w:sz w:val="32"/>
          <w:szCs w:val="32"/>
          <w:u w:val="single"/>
        </w:rPr>
        <w:t>　</w:t>
      </w:r>
      <w:r>
        <w:rPr>
          <w:rFonts w:ascii="仿宋" w:hAnsi="仿宋" w:eastAsia="仿宋" w:cs="Times New Roman"/>
          <w:sz w:val="32"/>
          <w:szCs w:val="32"/>
        </w:rPr>
        <w:t>月</w:t>
      </w:r>
      <w:r>
        <w:rPr>
          <w:rFonts w:ascii="仿宋" w:hAnsi="仿宋" w:eastAsia="仿宋" w:cs="Times New Roman"/>
          <w:sz w:val="32"/>
          <w:szCs w:val="32"/>
          <w:u w:val="single"/>
        </w:rPr>
        <w:t>　</w:t>
      </w:r>
      <w:r>
        <w:rPr>
          <w:rFonts w:ascii="仿宋" w:hAnsi="仿宋" w:eastAsia="仿宋" w:cs="Times New Roman"/>
          <w:sz w:val="32"/>
          <w:szCs w:val="32"/>
        </w:rPr>
        <w:t>日签字生效，特此声明。</w:t>
      </w:r>
      <w:r>
        <w:rPr>
          <w:rFonts w:hint="eastAsia" w:ascii="仿宋" w:hAnsi="仿宋" w:eastAsia="仿宋" w:cs="Times New Roman"/>
          <w:sz w:val="32"/>
          <w:szCs w:val="32"/>
        </w:rPr>
        <w:t>（有效期不得少于</w:t>
      </w:r>
      <w:r>
        <w:rPr>
          <w:rFonts w:ascii="仿宋" w:hAnsi="仿宋" w:eastAsia="仿宋" w:cs="Times New Roman"/>
          <w:sz w:val="32"/>
          <w:szCs w:val="32"/>
        </w:rPr>
        <w:t>90个日历日）</w:t>
      </w:r>
    </w:p>
    <w:p>
      <w:pPr>
        <w:pStyle w:val="25"/>
        <w:spacing w:line="360" w:lineRule="auto"/>
        <w:ind w:firstLine="659"/>
        <w:rPr>
          <w:rFonts w:ascii="仿宋" w:hAnsi="仿宋" w:eastAsia="仿宋" w:cs="Times New Roman"/>
          <w:sz w:val="32"/>
          <w:szCs w:val="32"/>
        </w:rPr>
      </w:pPr>
    </w:p>
    <w:p>
      <w:pPr>
        <w:pStyle w:val="25"/>
        <w:spacing w:line="360" w:lineRule="auto"/>
        <w:ind w:right="160" w:firstLine="0" w:firstLineChars="0"/>
        <w:rPr>
          <w:rFonts w:ascii="仿宋" w:hAnsi="仿宋" w:eastAsia="仿宋" w:cs="Times New Roman"/>
          <w:sz w:val="32"/>
          <w:szCs w:val="32"/>
        </w:rPr>
      </w:pPr>
      <w:r>
        <w:rPr>
          <w:rFonts w:hint="eastAsia" w:ascii="仿宋" w:hAnsi="仿宋" w:eastAsia="仿宋" w:cs="Times New Roman"/>
          <w:sz w:val="32"/>
          <w:szCs w:val="32"/>
        </w:rPr>
        <w:t>报价人</w:t>
      </w:r>
      <w:r>
        <w:rPr>
          <w:rFonts w:ascii="仿宋" w:hAnsi="仿宋" w:eastAsia="仿宋" w:cs="Times New Roman"/>
          <w:sz w:val="32"/>
          <w:szCs w:val="32"/>
        </w:rPr>
        <w:t>名称（加盖公章）：</w:t>
      </w:r>
    </w:p>
    <w:p>
      <w:pPr>
        <w:pStyle w:val="25"/>
        <w:wordWrap w:val="0"/>
        <w:spacing w:line="360" w:lineRule="auto"/>
        <w:ind w:firstLine="0" w:firstLineChars="0"/>
        <w:rPr>
          <w:rFonts w:ascii="仿宋" w:hAnsi="仿宋" w:eastAsia="仿宋" w:cs="Times New Roman"/>
          <w:sz w:val="32"/>
          <w:szCs w:val="32"/>
        </w:rPr>
      </w:pPr>
      <w:r>
        <w:rPr>
          <w:rFonts w:hint="eastAsia" w:ascii="仿宋" w:hAnsi="仿宋" w:eastAsia="仿宋" w:cs="Times New Roman"/>
          <w:sz w:val="32"/>
          <w:szCs w:val="32"/>
        </w:rPr>
        <w:t>报价人</w:t>
      </w:r>
      <w:r>
        <w:rPr>
          <w:rFonts w:ascii="仿宋" w:hAnsi="仿宋" w:eastAsia="仿宋" w:cs="Times New Roman"/>
          <w:sz w:val="32"/>
          <w:szCs w:val="32"/>
        </w:rPr>
        <w:t>地址：</w:t>
      </w:r>
    </w:p>
    <w:p>
      <w:pPr>
        <w:pStyle w:val="25"/>
        <w:wordWrap w:val="0"/>
        <w:spacing w:line="360" w:lineRule="auto"/>
        <w:ind w:firstLine="0" w:firstLineChars="0"/>
        <w:rPr>
          <w:rFonts w:ascii="仿宋" w:hAnsi="仿宋" w:eastAsia="仿宋" w:cs="Times New Roman"/>
          <w:sz w:val="32"/>
          <w:szCs w:val="32"/>
        </w:rPr>
      </w:pPr>
      <w:r>
        <w:rPr>
          <w:rFonts w:ascii="仿宋" w:hAnsi="仿宋" w:eastAsia="仿宋" w:cs="Times New Roman"/>
          <w:sz w:val="32"/>
          <w:szCs w:val="32"/>
        </w:rPr>
        <w:t>法定代表人（签字或盖章）：</w:t>
      </w:r>
    </w:p>
    <w:p>
      <w:pPr>
        <w:pStyle w:val="25"/>
        <w:wordWrap w:val="0"/>
        <w:spacing w:line="360" w:lineRule="auto"/>
        <w:ind w:firstLine="0" w:firstLineChars="0"/>
        <w:rPr>
          <w:rFonts w:ascii="仿宋" w:hAnsi="仿宋" w:eastAsia="仿宋" w:cs="Times New Roman"/>
          <w:sz w:val="32"/>
          <w:szCs w:val="32"/>
        </w:rPr>
      </w:pPr>
      <w:r>
        <w:rPr>
          <w:rFonts w:ascii="仿宋" w:hAnsi="仿宋" w:eastAsia="仿宋" w:cs="Times New Roman"/>
          <w:sz w:val="32"/>
          <w:szCs w:val="32"/>
        </w:rPr>
        <w:t>职务：</w:t>
      </w:r>
    </w:p>
    <w:p>
      <w:pPr>
        <w:pStyle w:val="25"/>
        <w:wordWrap w:val="0"/>
        <w:spacing w:line="360" w:lineRule="auto"/>
        <w:ind w:firstLine="0" w:firstLineChars="0"/>
        <w:rPr>
          <w:rFonts w:ascii="仿宋" w:hAnsi="仿宋" w:eastAsia="仿宋" w:cs="Times New Roman"/>
          <w:sz w:val="32"/>
          <w:szCs w:val="32"/>
        </w:rPr>
      </w:pPr>
      <w:r>
        <w:rPr>
          <w:rFonts w:ascii="仿宋" w:hAnsi="仿宋" w:eastAsia="仿宋" w:cs="Times New Roman"/>
          <w:sz w:val="32"/>
          <w:szCs w:val="32"/>
        </w:rPr>
        <w:t>受委托人（签字或盖章）：</w:t>
      </w:r>
    </w:p>
    <w:p>
      <w:pPr>
        <w:pStyle w:val="25"/>
        <w:wordWrap w:val="0"/>
        <w:spacing w:line="360" w:lineRule="auto"/>
        <w:ind w:firstLine="0" w:firstLineChars="0"/>
        <w:rPr>
          <w:rFonts w:ascii="仿宋" w:hAnsi="仿宋" w:eastAsia="仿宋" w:cs="Times New Roman"/>
          <w:sz w:val="32"/>
          <w:szCs w:val="32"/>
        </w:rPr>
      </w:pPr>
      <w:r>
        <w:rPr>
          <w:rFonts w:ascii="仿宋" w:hAnsi="仿宋" w:eastAsia="仿宋" w:cs="Times New Roman"/>
          <w:sz w:val="32"/>
          <w:szCs w:val="32"/>
        </w:rPr>
        <w:t>职务：</w:t>
      </w:r>
    </w:p>
    <w:p>
      <w:pPr>
        <w:pStyle w:val="25"/>
        <w:spacing w:line="360" w:lineRule="auto"/>
        <w:ind w:firstLine="0" w:firstLineChars="0"/>
        <w:rPr>
          <w:rFonts w:ascii="仿宋" w:hAnsi="仿宋" w:eastAsia="仿宋" w:cs="Times New Roman"/>
          <w:sz w:val="32"/>
          <w:szCs w:val="32"/>
        </w:rPr>
        <w:sectPr>
          <w:pgSz w:w="11906" w:h="16838"/>
          <w:pgMar w:top="1276" w:right="1800" w:bottom="1418" w:left="1800" w:header="851" w:footer="992" w:gutter="0"/>
          <w:cols w:space="720" w:num="1"/>
          <w:docGrid w:type="lines" w:linePitch="312" w:charSpace="0"/>
        </w:sectPr>
      </w:pPr>
      <w:r>
        <w:rPr>
          <w:rFonts w:ascii="仿宋" w:hAnsi="仿宋" w:eastAsia="仿宋" w:cs="Times New Roman"/>
          <w:sz w:val="32"/>
          <w:szCs w:val="32"/>
        </w:rPr>
        <w:t>日期：</w:t>
      </w:r>
    </w:p>
    <w:p>
      <w:pPr>
        <w:pStyle w:val="32"/>
        <w:numPr>
          <w:ilvl w:val="0"/>
          <w:numId w:val="2"/>
        </w:numPr>
        <w:spacing w:line="360" w:lineRule="auto"/>
        <w:ind w:left="420" w:firstLineChars="0"/>
        <w:outlineLvl w:val="1"/>
        <w:rPr>
          <w:rFonts w:ascii="仿宋" w:hAnsi="仿宋" w:eastAsia="仿宋"/>
          <w:b/>
          <w:bCs/>
          <w:sz w:val="28"/>
          <w:szCs w:val="44"/>
        </w:rPr>
      </w:pPr>
      <w:r>
        <w:rPr>
          <w:rFonts w:hint="eastAsia" w:ascii="宋体" w:hAnsi="宋体"/>
          <w:b/>
          <w:bCs/>
          <w:sz w:val="24"/>
          <w:szCs w:val="40"/>
        </w:rPr>
        <w:t>报价保证金汇入情况说明</w:t>
      </w:r>
    </w:p>
    <w:p>
      <w:pPr>
        <w:pStyle w:val="32"/>
        <w:spacing w:line="360" w:lineRule="auto"/>
        <w:ind w:firstLine="0" w:firstLineChars="0"/>
        <w:outlineLvl w:val="1"/>
        <w:rPr>
          <w:rFonts w:ascii="仿宋" w:hAnsi="仿宋" w:eastAsia="仿宋"/>
          <w:b/>
          <w:bCs/>
          <w:sz w:val="28"/>
          <w:szCs w:val="44"/>
        </w:rPr>
      </w:pPr>
    </w:p>
    <w:p>
      <w:pPr>
        <w:pStyle w:val="32"/>
        <w:spacing w:line="360" w:lineRule="auto"/>
        <w:ind w:firstLine="0" w:firstLineChars="0"/>
        <w:jc w:val="center"/>
        <w:outlineLvl w:val="1"/>
        <w:rPr>
          <w:rFonts w:eastAsia="黑体"/>
          <w:color w:val="000000"/>
          <w:sz w:val="30"/>
          <w:szCs w:val="30"/>
        </w:rPr>
      </w:pPr>
      <w:bookmarkStart w:id="3" w:name="_Toc12220"/>
      <w:bookmarkStart w:id="4" w:name="_Toc32088"/>
      <w:bookmarkStart w:id="5" w:name="_Toc5428"/>
      <w:bookmarkStart w:id="6" w:name="_Toc3118"/>
      <w:bookmarkStart w:id="7" w:name="_Toc10037"/>
      <w:bookmarkStart w:id="8" w:name="_Toc1367"/>
      <w:bookmarkStart w:id="9" w:name="_Toc30346"/>
      <w:bookmarkStart w:id="10" w:name="_Toc3217"/>
      <w:bookmarkStart w:id="11" w:name="_Toc28801"/>
      <w:bookmarkStart w:id="12" w:name="_Toc30323"/>
      <w:r>
        <w:rPr>
          <w:rFonts w:hint="eastAsia" w:eastAsia="黑体"/>
          <w:color w:val="000000"/>
          <w:sz w:val="30"/>
          <w:szCs w:val="30"/>
        </w:rPr>
        <w:t>报价保证金汇入情况说明</w:t>
      </w:r>
      <w:bookmarkEnd w:id="3"/>
      <w:bookmarkEnd w:id="4"/>
      <w:bookmarkEnd w:id="5"/>
      <w:bookmarkEnd w:id="6"/>
      <w:bookmarkEnd w:id="7"/>
      <w:bookmarkEnd w:id="8"/>
      <w:bookmarkEnd w:id="9"/>
      <w:bookmarkEnd w:id="10"/>
      <w:bookmarkEnd w:id="11"/>
      <w:bookmarkEnd w:id="12"/>
    </w:p>
    <w:p>
      <w:pPr>
        <w:spacing w:line="360" w:lineRule="auto"/>
        <w:rPr>
          <w:rFonts w:ascii="宋体" w:hAnsi="宋体"/>
          <w:b/>
          <w:sz w:val="24"/>
          <w:szCs w:val="24"/>
        </w:rPr>
      </w:pPr>
      <w:r>
        <w:rPr>
          <w:rFonts w:hint="eastAsia" w:ascii="宋体" w:hAnsi="宋体"/>
          <w:b/>
          <w:sz w:val="24"/>
          <w:szCs w:val="24"/>
        </w:rPr>
        <w:t xml:space="preserve">致：东莞市新东欣环保投资有限公司 </w:t>
      </w:r>
    </w:p>
    <w:p>
      <w:pPr>
        <w:spacing w:line="360" w:lineRule="auto"/>
        <w:ind w:firstLine="480" w:firstLineChars="200"/>
        <w:rPr>
          <w:rFonts w:ascii="宋体" w:hAnsi="宋体"/>
          <w:sz w:val="24"/>
          <w:szCs w:val="24"/>
        </w:rPr>
      </w:pPr>
      <w:r>
        <w:rPr>
          <w:rFonts w:hint="eastAsia" w:ascii="宋体" w:hAnsi="宋体"/>
          <w:sz w:val="24"/>
          <w:szCs w:val="24"/>
        </w:rPr>
        <w:t>单位已按东莞市海心沙资源综合利用中心绿色工业服务项目检测中心阿贝尔闪点仪（ABA4）采购项目的询价文件要求，于</w:t>
      </w:r>
      <w:r>
        <w:rPr>
          <w:rFonts w:hint="eastAsia" w:ascii="宋体" w:hAnsi="宋体"/>
          <w:sz w:val="24"/>
          <w:szCs w:val="24"/>
          <w:u w:val="single"/>
        </w:rPr>
        <w:t xml:space="preserve">    </w:t>
      </w:r>
      <w:r>
        <w:rPr>
          <w:rFonts w:hint="eastAsia" w:ascii="宋体" w:hAnsi="宋体"/>
          <w:sz w:val="24"/>
          <w:szCs w:val="24"/>
        </w:rPr>
        <w:t>年</w:t>
      </w:r>
      <w:r>
        <w:rPr>
          <w:rFonts w:hint="eastAsia" w:ascii="宋体" w:hAnsi="宋体"/>
          <w:sz w:val="24"/>
          <w:szCs w:val="24"/>
          <w:u w:val="single"/>
        </w:rPr>
        <w:t xml:space="preserve">    </w:t>
      </w:r>
      <w:r>
        <w:rPr>
          <w:rFonts w:hint="eastAsia" w:ascii="宋体" w:hAnsi="宋体"/>
          <w:sz w:val="24"/>
          <w:szCs w:val="24"/>
        </w:rPr>
        <w:t>月</w:t>
      </w:r>
      <w:r>
        <w:rPr>
          <w:rFonts w:hint="eastAsia" w:ascii="宋体" w:hAnsi="宋体"/>
          <w:sz w:val="24"/>
          <w:szCs w:val="24"/>
          <w:u w:val="single"/>
        </w:rPr>
        <w:t xml:space="preserve">    </w:t>
      </w:r>
      <w:r>
        <w:rPr>
          <w:rFonts w:hint="eastAsia" w:ascii="宋体" w:hAnsi="宋体"/>
          <w:sz w:val="24"/>
          <w:szCs w:val="24"/>
        </w:rPr>
        <w:t>日前以</w:t>
      </w:r>
      <w:r>
        <w:rPr>
          <w:rFonts w:hint="eastAsia" w:ascii="宋体" w:hAnsi="宋体"/>
          <w:sz w:val="24"/>
          <w:szCs w:val="24"/>
          <w:u w:val="single"/>
        </w:rPr>
        <w:t xml:space="preserve">    （付款形式）  </w:t>
      </w:r>
      <w:r>
        <w:rPr>
          <w:rFonts w:hint="eastAsia" w:ascii="宋体" w:hAnsi="宋体"/>
          <w:sz w:val="24"/>
          <w:szCs w:val="24"/>
        </w:rPr>
        <w:t>方式汇入指定帐户（帐户名称：</w:t>
      </w:r>
      <w:r>
        <w:rPr>
          <w:rFonts w:hint="eastAsia" w:ascii="宋体" w:hAnsi="宋体"/>
          <w:sz w:val="24"/>
          <w:szCs w:val="24"/>
          <w:u w:val="single"/>
        </w:rPr>
        <w:t xml:space="preserve">             </w:t>
      </w:r>
      <w:r>
        <w:rPr>
          <w:rFonts w:hint="eastAsia" w:ascii="宋体" w:hAnsi="宋体"/>
          <w:sz w:val="24"/>
          <w:szCs w:val="24"/>
        </w:rPr>
        <w:t xml:space="preserve">，帐号 </w:t>
      </w:r>
      <w:r>
        <w:rPr>
          <w:rFonts w:hint="eastAsia" w:ascii="宋体" w:hAnsi="宋体"/>
          <w:sz w:val="24"/>
          <w:szCs w:val="24"/>
          <w:u w:val="single"/>
        </w:rPr>
        <w:t xml:space="preserve">            </w:t>
      </w:r>
      <w:r>
        <w:rPr>
          <w:rFonts w:hint="eastAsia" w:ascii="宋体" w:hAnsi="宋体"/>
          <w:sz w:val="24"/>
          <w:szCs w:val="24"/>
        </w:rPr>
        <w:t xml:space="preserve"> ,开户银行：</w:t>
      </w:r>
      <w:r>
        <w:rPr>
          <w:rFonts w:hint="eastAsia" w:ascii="宋体" w:hAnsi="宋体"/>
          <w:sz w:val="24"/>
          <w:szCs w:val="24"/>
          <w:u w:val="single"/>
        </w:rPr>
        <w:t xml:space="preserve">               </w:t>
      </w:r>
      <w:r>
        <w:rPr>
          <w:rFonts w:hint="eastAsia" w:ascii="宋体" w:hAnsi="宋体"/>
          <w:sz w:val="24"/>
          <w:szCs w:val="24"/>
        </w:rPr>
        <w:t>）。</w:t>
      </w:r>
    </w:p>
    <w:p>
      <w:pPr>
        <w:spacing w:line="360" w:lineRule="auto"/>
        <w:ind w:firstLine="480" w:firstLineChars="200"/>
        <w:rPr>
          <w:rFonts w:ascii="宋体" w:hAnsi="宋体"/>
          <w:sz w:val="24"/>
          <w:szCs w:val="24"/>
        </w:rPr>
      </w:pPr>
      <w:r>
        <w:rPr>
          <w:rFonts w:hint="eastAsia" w:ascii="宋体" w:hAnsi="宋体"/>
          <w:sz w:val="24"/>
          <w:szCs w:val="24"/>
        </w:rPr>
        <w:t>本单位报价保证金的汇款情况：（详见附件－报价保证金进帐单）</w:t>
      </w:r>
    </w:p>
    <w:p>
      <w:pPr>
        <w:spacing w:line="360" w:lineRule="auto"/>
        <w:ind w:firstLine="480" w:firstLineChars="200"/>
        <w:rPr>
          <w:rFonts w:ascii="宋体" w:hAnsi="宋体"/>
          <w:sz w:val="24"/>
          <w:szCs w:val="24"/>
        </w:rPr>
      </w:pPr>
      <w:r>
        <w:rPr>
          <w:rFonts w:hint="eastAsia" w:ascii="宋体" w:hAnsi="宋体"/>
          <w:sz w:val="24"/>
          <w:szCs w:val="24"/>
        </w:rPr>
        <w:t>汇出时间：</w:t>
      </w:r>
      <w:r>
        <w:rPr>
          <w:rFonts w:hint="eastAsia" w:ascii="宋体" w:hAnsi="宋体"/>
          <w:sz w:val="24"/>
          <w:szCs w:val="24"/>
          <w:u w:val="single"/>
        </w:rPr>
        <w:t xml:space="preserve">    </w:t>
      </w:r>
      <w:r>
        <w:rPr>
          <w:rFonts w:hint="eastAsia" w:ascii="宋体" w:hAnsi="宋体"/>
          <w:sz w:val="24"/>
          <w:szCs w:val="24"/>
        </w:rPr>
        <w:t>年</w:t>
      </w:r>
      <w:r>
        <w:rPr>
          <w:rFonts w:hint="eastAsia" w:ascii="宋体" w:hAnsi="宋体"/>
          <w:sz w:val="24"/>
          <w:szCs w:val="24"/>
          <w:u w:val="single"/>
        </w:rPr>
        <w:t xml:space="preserve">    </w:t>
      </w:r>
      <w:r>
        <w:rPr>
          <w:rFonts w:hint="eastAsia" w:ascii="宋体" w:hAnsi="宋体"/>
          <w:sz w:val="24"/>
          <w:szCs w:val="24"/>
        </w:rPr>
        <w:t>月</w:t>
      </w:r>
      <w:r>
        <w:rPr>
          <w:rFonts w:hint="eastAsia" w:ascii="宋体" w:hAnsi="宋体"/>
          <w:sz w:val="24"/>
          <w:szCs w:val="24"/>
          <w:u w:val="single"/>
        </w:rPr>
        <w:t xml:space="preserve">    </w:t>
      </w:r>
      <w:r>
        <w:rPr>
          <w:rFonts w:hint="eastAsia" w:ascii="宋体" w:hAnsi="宋体"/>
          <w:sz w:val="24"/>
          <w:szCs w:val="24"/>
        </w:rPr>
        <w:t>日</w:t>
      </w:r>
    </w:p>
    <w:p>
      <w:pPr>
        <w:spacing w:line="360" w:lineRule="auto"/>
        <w:ind w:firstLine="480" w:firstLineChars="200"/>
        <w:rPr>
          <w:rFonts w:ascii="宋体" w:hAnsi="宋体"/>
          <w:sz w:val="24"/>
          <w:szCs w:val="24"/>
        </w:rPr>
      </w:pPr>
      <w:r>
        <w:rPr>
          <w:rFonts w:hint="eastAsia" w:ascii="宋体" w:hAnsi="宋体"/>
          <w:sz w:val="24"/>
          <w:szCs w:val="24"/>
        </w:rPr>
        <w:t>汇款金额：（大写）人民币</w:t>
      </w:r>
      <w:r>
        <w:rPr>
          <w:rFonts w:hint="eastAsia" w:ascii="宋体" w:hAnsi="宋体"/>
          <w:sz w:val="24"/>
          <w:szCs w:val="24"/>
          <w:u w:val="single"/>
        </w:rPr>
        <w:t xml:space="preserve">       </w:t>
      </w:r>
      <w:r>
        <w:rPr>
          <w:rFonts w:hint="eastAsia" w:ascii="宋体" w:hAnsi="宋体"/>
          <w:sz w:val="24"/>
          <w:szCs w:val="24"/>
        </w:rPr>
        <w:t>元（小写：￥</w:t>
      </w:r>
      <w:r>
        <w:rPr>
          <w:rFonts w:hint="eastAsia" w:ascii="宋体" w:hAnsi="宋体"/>
          <w:sz w:val="24"/>
          <w:szCs w:val="24"/>
          <w:u w:val="single"/>
        </w:rPr>
        <w:t xml:space="preserve">      </w:t>
      </w:r>
      <w:r>
        <w:rPr>
          <w:rFonts w:hint="eastAsia" w:ascii="宋体" w:hAnsi="宋体"/>
          <w:sz w:val="24"/>
          <w:szCs w:val="24"/>
        </w:rPr>
        <w:t>元）</w:t>
      </w:r>
    </w:p>
    <w:p>
      <w:pPr>
        <w:spacing w:line="360" w:lineRule="auto"/>
        <w:ind w:firstLine="480" w:firstLineChars="200"/>
        <w:rPr>
          <w:rFonts w:ascii="宋体" w:hAnsi="宋体"/>
          <w:sz w:val="24"/>
          <w:szCs w:val="24"/>
        </w:rPr>
      </w:pPr>
      <w:r>
        <w:rPr>
          <w:rFonts w:hint="eastAsia" w:ascii="宋体" w:hAnsi="宋体"/>
          <w:sz w:val="24"/>
          <w:szCs w:val="24"/>
        </w:rPr>
        <w:t>汇款帐户名称：</w:t>
      </w:r>
      <w:r>
        <w:rPr>
          <w:rFonts w:hint="eastAsia" w:ascii="宋体" w:hAnsi="宋体"/>
          <w:sz w:val="24"/>
          <w:szCs w:val="24"/>
          <w:u w:val="single"/>
        </w:rPr>
        <w:t xml:space="preserve">  （必须是报价时使用的帐户名）   </w:t>
      </w:r>
    </w:p>
    <w:p>
      <w:pPr>
        <w:spacing w:line="360" w:lineRule="auto"/>
        <w:ind w:firstLine="480" w:firstLineChars="200"/>
        <w:rPr>
          <w:rFonts w:ascii="宋体" w:hAnsi="宋体"/>
          <w:sz w:val="24"/>
          <w:szCs w:val="24"/>
        </w:rPr>
      </w:pPr>
      <w:r>
        <w:rPr>
          <w:rFonts w:hint="eastAsia" w:ascii="宋体" w:hAnsi="宋体"/>
          <w:sz w:val="24"/>
          <w:szCs w:val="24"/>
        </w:rPr>
        <w:t>帐    号：</w:t>
      </w:r>
      <w:r>
        <w:rPr>
          <w:rFonts w:hint="eastAsia" w:ascii="宋体" w:hAnsi="宋体"/>
          <w:sz w:val="24"/>
          <w:szCs w:val="24"/>
          <w:u w:val="single"/>
        </w:rPr>
        <w:t xml:space="preserve">      （必须是报价时使用的帐号）     </w:t>
      </w:r>
    </w:p>
    <w:p>
      <w:pPr>
        <w:spacing w:line="360" w:lineRule="auto"/>
        <w:ind w:firstLine="480" w:firstLineChars="200"/>
        <w:rPr>
          <w:rFonts w:ascii="宋体" w:hAnsi="宋体"/>
          <w:sz w:val="24"/>
          <w:szCs w:val="24"/>
        </w:rPr>
      </w:pPr>
      <w:r>
        <w:rPr>
          <w:rFonts w:hint="eastAsia" w:ascii="宋体" w:hAnsi="宋体"/>
          <w:sz w:val="24"/>
          <w:szCs w:val="24"/>
        </w:rPr>
        <w:t>开户银行：</w:t>
      </w:r>
      <w:r>
        <w:rPr>
          <w:rFonts w:hint="eastAsia" w:ascii="宋体" w:hAnsi="宋体"/>
          <w:sz w:val="24"/>
          <w:szCs w:val="24"/>
          <w:u w:val="single"/>
        </w:rPr>
        <w:t xml:space="preserve">         省    市                    </w:t>
      </w:r>
    </w:p>
    <w:p>
      <w:pPr>
        <w:spacing w:line="360" w:lineRule="auto"/>
        <w:ind w:firstLine="480" w:firstLineChars="200"/>
        <w:rPr>
          <w:rFonts w:ascii="宋体" w:hAnsi="宋体"/>
          <w:sz w:val="24"/>
          <w:szCs w:val="24"/>
        </w:rPr>
      </w:pPr>
      <w:r>
        <w:rPr>
          <w:rFonts w:hint="eastAsia" w:ascii="宋体" w:hAnsi="宋体"/>
          <w:sz w:val="24"/>
          <w:szCs w:val="24"/>
        </w:rPr>
        <w:t>本单位谨承诺上述资料是正确、真实的，如因上述证明与事实不符导致的一切损失，本单位保证承担赔偿等一切法律责任。</w:t>
      </w:r>
    </w:p>
    <w:p>
      <w:pPr>
        <w:spacing w:line="360" w:lineRule="auto"/>
        <w:ind w:firstLine="480" w:firstLineChars="200"/>
        <w:rPr>
          <w:rFonts w:ascii="宋体" w:hAnsi="宋体"/>
          <w:sz w:val="24"/>
          <w:szCs w:val="24"/>
        </w:rPr>
      </w:pPr>
      <w:r>
        <w:rPr>
          <w:rFonts w:hint="eastAsia" w:ascii="宋体" w:hAnsi="宋体"/>
          <w:sz w:val="24"/>
          <w:szCs w:val="24"/>
        </w:rPr>
        <w:t>报价保证金退回时，请按上述资料退回。</w:t>
      </w:r>
    </w:p>
    <w:p>
      <w:pPr>
        <w:spacing w:line="360" w:lineRule="auto"/>
        <w:ind w:right="844" w:rightChars="402"/>
        <w:jc w:val="right"/>
        <w:rPr>
          <w:rFonts w:ascii="宋体" w:hAnsi="宋体"/>
          <w:sz w:val="24"/>
          <w:szCs w:val="24"/>
        </w:rPr>
      </w:pPr>
      <w:r>
        <w:rPr>
          <w:rFonts w:hint="eastAsia" w:ascii="宋体" w:hAnsi="宋体"/>
          <w:sz w:val="24"/>
          <w:szCs w:val="24"/>
        </w:rPr>
        <w:t>（单位公章）</w:t>
      </w:r>
    </w:p>
    <w:p>
      <w:pPr>
        <w:spacing w:line="360" w:lineRule="auto"/>
        <w:ind w:right="628" w:rightChars="299"/>
        <w:jc w:val="right"/>
        <w:rPr>
          <w:rFonts w:ascii="宋体" w:hAnsi="宋体"/>
          <w:sz w:val="24"/>
          <w:szCs w:val="24"/>
        </w:rPr>
      </w:pPr>
      <w:r>
        <w:rPr>
          <w:rFonts w:hint="eastAsia" w:ascii="宋体" w:hAnsi="宋体"/>
          <w:sz w:val="24"/>
          <w:szCs w:val="24"/>
        </w:rPr>
        <w:t>年  月  日</w:t>
      </w:r>
    </w:p>
    <w:p>
      <w:pPr>
        <w:spacing w:line="360" w:lineRule="auto"/>
        <w:rPr>
          <w:rFonts w:ascii="宋体" w:hAnsi="宋体"/>
          <w:sz w:val="24"/>
          <w:szCs w:val="24"/>
        </w:rPr>
      </w:pPr>
      <w:r>
        <w:rPr>
          <w:rFonts w:hint="eastAsia" w:ascii="宋体" w:hAnsi="宋体"/>
          <w:sz w:val="24"/>
          <w:szCs w:val="24"/>
        </w:rPr>
        <w:t>单位名称：</w:t>
      </w:r>
      <w:r>
        <w:rPr>
          <w:rFonts w:hint="eastAsia" w:ascii="宋体" w:hAnsi="宋体"/>
          <w:sz w:val="24"/>
          <w:szCs w:val="24"/>
          <w:u w:val="single"/>
        </w:rPr>
        <w:t xml:space="preserve">                   </w:t>
      </w:r>
    </w:p>
    <w:p>
      <w:pPr>
        <w:spacing w:line="360" w:lineRule="auto"/>
        <w:rPr>
          <w:rFonts w:ascii="宋体" w:hAnsi="宋体"/>
          <w:sz w:val="24"/>
          <w:szCs w:val="24"/>
        </w:rPr>
      </w:pPr>
      <w:r>
        <w:rPr>
          <w:rFonts w:hint="eastAsia" w:ascii="宋体" w:hAnsi="宋体"/>
          <w:sz w:val="24"/>
          <w:szCs w:val="24"/>
        </w:rPr>
        <w:t>联系人：</w:t>
      </w:r>
      <w:r>
        <w:rPr>
          <w:rFonts w:hint="eastAsia" w:ascii="宋体" w:hAnsi="宋体"/>
          <w:sz w:val="24"/>
          <w:szCs w:val="24"/>
          <w:u w:val="single"/>
        </w:rPr>
        <w:t xml:space="preserve">                     </w:t>
      </w:r>
    </w:p>
    <w:p>
      <w:pPr>
        <w:spacing w:line="360" w:lineRule="auto"/>
        <w:rPr>
          <w:rFonts w:ascii="宋体" w:hAnsi="宋体"/>
          <w:sz w:val="24"/>
          <w:szCs w:val="24"/>
        </w:rPr>
      </w:pPr>
      <w:r>
        <w:rPr>
          <w:rFonts w:hint="eastAsia" w:ascii="宋体" w:hAnsi="宋体"/>
          <w:sz w:val="24"/>
          <w:szCs w:val="24"/>
        </w:rPr>
        <w:t>单位电话：</w:t>
      </w:r>
      <w:r>
        <w:rPr>
          <w:rFonts w:hint="eastAsia" w:ascii="宋体" w:hAnsi="宋体"/>
          <w:sz w:val="24"/>
          <w:szCs w:val="24"/>
          <w:u w:val="single"/>
        </w:rPr>
        <w:t xml:space="preserve">                  </w:t>
      </w:r>
      <w:r>
        <w:rPr>
          <w:rFonts w:hint="eastAsia" w:ascii="宋体" w:hAnsi="宋体"/>
          <w:sz w:val="24"/>
          <w:szCs w:val="24"/>
        </w:rPr>
        <w:t xml:space="preserve"> </w:t>
      </w:r>
    </w:p>
    <w:p>
      <w:pPr>
        <w:spacing w:line="360" w:lineRule="auto"/>
        <w:rPr>
          <w:rFonts w:ascii="宋体" w:hAnsi="宋体"/>
          <w:sz w:val="24"/>
          <w:szCs w:val="24"/>
        </w:rPr>
      </w:pPr>
      <w:r>
        <w:rPr>
          <w:rFonts w:hint="eastAsia" w:ascii="宋体" w:hAnsi="宋体"/>
          <w:sz w:val="24"/>
          <w:szCs w:val="24"/>
        </w:rPr>
        <w:t>联系人手机：</w:t>
      </w:r>
      <w:r>
        <w:rPr>
          <w:rFonts w:hint="eastAsia" w:ascii="宋体" w:hAnsi="宋体"/>
          <w:sz w:val="24"/>
          <w:szCs w:val="24"/>
          <w:u w:val="single"/>
        </w:rPr>
        <w:t xml:space="preserve">                </w:t>
      </w:r>
    </w:p>
    <w:p>
      <w:pPr>
        <w:spacing w:line="360" w:lineRule="auto"/>
        <w:ind w:firstLine="480" w:firstLineChars="200"/>
        <w:rPr>
          <w:rFonts w:ascii="宋体" w:hAnsi="宋体"/>
          <w:sz w:val="24"/>
          <w:szCs w:val="24"/>
        </w:rPr>
      </w:pPr>
      <w:r>
        <w:rPr>
          <w:rFonts w:hint="eastAsia" w:ascii="宋体" w:hAnsi="宋体"/>
          <w:sz w:val="24"/>
          <w:szCs w:val="24"/>
        </w:rPr>
        <w:t>附：我方报价保证金汇款凭证</w:t>
      </w:r>
    </w:p>
    <w:tbl>
      <w:tblPr>
        <w:tblStyle w:val="18"/>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759" w:hRule="atLeast"/>
        </w:trPr>
        <w:tc>
          <w:tcPr>
            <w:tcW w:w="9179" w:type="dxa"/>
            <w:tcBorders>
              <w:top w:val="single" w:color="auto" w:sz="4" w:space="0"/>
              <w:left w:val="single" w:color="auto" w:sz="4" w:space="0"/>
              <w:bottom w:val="single" w:color="auto" w:sz="4" w:space="0"/>
              <w:right w:val="single" w:color="auto" w:sz="4" w:space="0"/>
            </w:tcBorders>
            <w:vAlign w:val="center"/>
          </w:tcPr>
          <w:p>
            <w:pPr>
              <w:tabs>
                <w:tab w:val="left" w:pos="3885"/>
              </w:tabs>
              <w:spacing w:line="360" w:lineRule="auto"/>
              <w:jc w:val="center"/>
              <w:rPr>
                <w:rFonts w:ascii="宋体" w:hAnsi="宋体"/>
                <w:sz w:val="24"/>
                <w:szCs w:val="24"/>
              </w:rPr>
            </w:pPr>
            <w:r>
              <w:rPr>
                <w:rFonts w:hint="eastAsia" w:ascii="宋体" w:hAnsi="宋体"/>
                <w:sz w:val="24"/>
                <w:szCs w:val="24"/>
              </w:rPr>
              <w:t>（粘贴汇款单或转账凭证复印件，并在骑缝上加盖公章，或是直接把转账凭证复印到此张纸上）</w:t>
            </w:r>
          </w:p>
        </w:tc>
      </w:tr>
    </w:tbl>
    <w:p>
      <w:pPr>
        <w:pStyle w:val="32"/>
        <w:spacing w:line="360" w:lineRule="auto"/>
        <w:ind w:firstLine="0" w:firstLineChars="0"/>
        <w:outlineLvl w:val="1"/>
        <w:rPr>
          <w:rFonts w:ascii="宋体" w:hAnsi="宋体"/>
          <w:b/>
          <w:sz w:val="22"/>
          <w:szCs w:val="24"/>
        </w:rPr>
      </w:pPr>
    </w:p>
    <w:p>
      <w:pPr>
        <w:pStyle w:val="32"/>
        <w:numPr>
          <w:ilvl w:val="0"/>
          <w:numId w:val="2"/>
        </w:numPr>
        <w:spacing w:line="360" w:lineRule="auto"/>
        <w:ind w:left="0" w:firstLine="0" w:firstLineChars="0"/>
        <w:jc w:val="left"/>
        <w:outlineLvl w:val="1"/>
        <w:rPr>
          <w:rFonts w:ascii="仿宋" w:hAnsi="仿宋" w:eastAsia="仿宋"/>
          <w:b/>
          <w:bCs/>
          <w:sz w:val="28"/>
          <w:szCs w:val="44"/>
        </w:rPr>
      </w:pPr>
      <w:bookmarkStart w:id="13" w:name="OLE_LINK11"/>
      <w:r>
        <w:rPr>
          <w:rFonts w:hint="eastAsia" w:ascii="仿宋" w:hAnsi="仿宋" w:eastAsia="仿宋"/>
          <w:b/>
          <w:bCs/>
          <w:sz w:val="28"/>
          <w:szCs w:val="44"/>
          <w:lang w:val="en-US" w:eastAsia="zh-CN"/>
        </w:rPr>
        <w:t>报价</w:t>
      </w:r>
      <w:r>
        <w:rPr>
          <w:rFonts w:hint="eastAsia" w:ascii="仿宋" w:hAnsi="仿宋" w:eastAsia="仿宋"/>
          <w:b/>
          <w:bCs/>
          <w:sz w:val="28"/>
          <w:szCs w:val="44"/>
        </w:rPr>
        <w:t>人未到场声明</w:t>
      </w:r>
    </w:p>
    <w:bookmarkEnd w:id="13"/>
    <w:p>
      <w:pPr>
        <w:pStyle w:val="32"/>
        <w:ind w:firstLine="0" w:firstLineChars="0"/>
        <w:jc w:val="center"/>
        <w:outlineLvl w:val="1"/>
        <w:rPr>
          <w:rFonts w:eastAsia="仿宋_GB2312"/>
          <w:b/>
          <w:sz w:val="32"/>
          <w:szCs w:val="32"/>
        </w:rPr>
      </w:pPr>
      <w:r>
        <w:rPr>
          <w:rFonts w:hint="eastAsia" w:ascii="仿宋_GB2312" w:eastAsia="仿宋_GB2312"/>
          <w:b/>
          <w:sz w:val="32"/>
          <w:szCs w:val="32"/>
          <w:lang w:val="en-US" w:eastAsia="zh-CN"/>
        </w:rPr>
        <w:t>报价</w:t>
      </w:r>
      <w:r>
        <w:rPr>
          <w:rFonts w:ascii="仿宋_GB2312" w:eastAsia="仿宋_GB2312"/>
          <w:b/>
          <w:sz w:val="32"/>
          <w:szCs w:val="32"/>
        </w:rPr>
        <w:t>人未到场声明</w:t>
      </w:r>
    </w:p>
    <w:p>
      <w:pPr>
        <w:spacing w:line="360" w:lineRule="auto"/>
        <w:ind w:firstLine="640" w:firstLineChars="200"/>
        <w:rPr>
          <w:rFonts w:eastAsia="仿宋_GB2312"/>
          <w:sz w:val="32"/>
          <w:szCs w:val="32"/>
        </w:rPr>
      </w:pPr>
      <w:r>
        <w:rPr>
          <w:rFonts w:hint="eastAsia" w:eastAsia="仿宋_GB2312"/>
          <w:sz w:val="32"/>
          <w:szCs w:val="32"/>
        </w:rPr>
        <w:t>东莞市东实新能源有限公司：</w:t>
      </w:r>
    </w:p>
    <w:p>
      <w:pPr>
        <w:spacing w:line="360" w:lineRule="auto"/>
        <w:ind w:firstLine="640" w:firstLineChars="200"/>
        <w:rPr>
          <w:rFonts w:eastAsia="仿宋_GB2312"/>
          <w:sz w:val="32"/>
          <w:szCs w:val="32"/>
        </w:rPr>
      </w:pPr>
      <w:r>
        <w:rPr>
          <w:rFonts w:hint="eastAsia" w:eastAsia="仿宋_GB2312"/>
          <w:sz w:val="32"/>
          <w:szCs w:val="32"/>
        </w:rPr>
        <w:t>我司就参加</w:t>
      </w:r>
      <w:r>
        <w:rPr>
          <w:rFonts w:hint="eastAsia" w:eastAsia="仿宋_GB2312"/>
          <w:sz w:val="32"/>
          <w:szCs w:val="32"/>
          <w:u w:val="single"/>
        </w:rPr>
        <w:t>东莞市海心沙资源综合利用中心绿色工业服务项目检测中心阿贝尔闪点仪（ABA4）采购项目</w:t>
      </w:r>
      <w:r>
        <w:rPr>
          <w:rFonts w:hint="eastAsia" w:eastAsia="仿宋_GB2312"/>
          <w:sz w:val="32"/>
          <w:szCs w:val="32"/>
        </w:rPr>
        <w:t>报价工作，作出郑重说明：</w:t>
      </w:r>
    </w:p>
    <w:p>
      <w:pPr>
        <w:spacing w:line="360" w:lineRule="auto"/>
        <w:ind w:firstLine="640" w:firstLineChars="200"/>
        <w:rPr>
          <w:rFonts w:eastAsia="仿宋_GB2312"/>
          <w:sz w:val="32"/>
          <w:szCs w:val="32"/>
        </w:rPr>
      </w:pPr>
      <w:r>
        <w:rPr>
          <w:rFonts w:hint="eastAsia" w:eastAsia="仿宋_GB2312"/>
          <w:sz w:val="32"/>
          <w:szCs w:val="32"/>
        </w:rPr>
        <w:t>我司保证</w:t>
      </w:r>
      <w:r>
        <w:rPr>
          <w:rFonts w:hint="eastAsia" w:eastAsia="仿宋_GB2312"/>
          <w:sz w:val="32"/>
          <w:szCs w:val="32"/>
          <w:lang w:val="en-US" w:eastAsia="zh-CN"/>
        </w:rPr>
        <w:t>报价</w:t>
      </w:r>
      <w:r>
        <w:rPr>
          <w:rFonts w:hint="eastAsia" w:eastAsia="仿宋_GB2312"/>
          <w:sz w:val="32"/>
          <w:szCs w:val="32"/>
        </w:rPr>
        <w:t>资格审查材料及其后提供的一切材料都是真实的；</w:t>
      </w:r>
    </w:p>
    <w:p>
      <w:pPr>
        <w:spacing w:line="360" w:lineRule="auto"/>
        <w:ind w:firstLine="640" w:firstLineChars="200"/>
        <w:rPr>
          <w:rFonts w:eastAsia="仿宋_GB2312"/>
          <w:sz w:val="32"/>
          <w:szCs w:val="32"/>
        </w:rPr>
      </w:pPr>
      <w:r>
        <w:rPr>
          <w:rFonts w:hint="eastAsia" w:eastAsia="仿宋_GB2312"/>
          <w:sz w:val="32"/>
          <w:szCs w:val="32"/>
        </w:rPr>
        <w:t>我司因疫情防控原因情况未能到现场参加开标工作，对开标结果不存在任何异议。</w:t>
      </w:r>
    </w:p>
    <w:p>
      <w:pPr>
        <w:spacing w:line="360" w:lineRule="auto"/>
        <w:ind w:firstLine="640" w:firstLineChars="200"/>
        <w:rPr>
          <w:rFonts w:eastAsia="仿宋_GB2312"/>
          <w:sz w:val="32"/>
          <w:szCs w:val="32"/>
        </w:rPr>
      </w:pPr>
      <w:r>
        <w:rPr>
          <w:rFonts w:hint="eastAsia" w:eastAsia="仿宋_GB2312"/>
          <w:sz w:val="32"/>
          <w:szCs w:val="32"/>
        </w:rPr>
        <w:t xml:space="preserve"> </w:t>
      </w:r>
    </w:p>
    <w:p>
      <w:pPr>
        <w:spacing w:line="360" w:lineRule="auto"/>
        <w:ind w:firstLine="640" w:firstLineChars="200"/>
        <w:rPr>
          <w:rFonts w:eastAsia="仿宋_GB2312"/>
          <w:sz w:val="32"/>
          <w:szCs w:val="32"/>
        </w:rPr>
      </w:pPr>
      <w:r>
        <w:rPr>
          <w:rFonts w:hint="eastAsia" w:eastAsia="仿宋_GB2312"/>
          <w:sz w:val="32"/>
          <w:szCs w:val="32"/>
        </w:rPr>
        <w:t xml:space="preserve"> </w:t>
      </w:r>
    </w:p>
    <w:p>
      <w:pPr>
        <w:spacing w:line="360" w:lineRule="auto"/>
        <w:ind w:firstLine="640" w:firstLineChars="200"/>
        <w:rPr>
          <w:rFonts w:eastAsia="仿宋_GB2312"/>
          <w:sz w:val="32"/>
          <w:szCs w:val="32"/>
        </w:rPr>
      </w:pPr>
      <w:r>
        <w:rPr>
          <w:rFonts w:hint="eastAsia" w:eastAsia="仿宋_GB2312"/>
          <w:sz w:val="32"/>
          <w:szCs w:val="32"/>
        </w:rPr>
        <w:t xml:space="preserve"> </w:t>
      </w:r>
    </w:p>
    <w:p>
      <w:pPr>
        <w:spacing w:line="360" w:lineRule="auto"/>
        <w:ind w:firstLine="640" w:firstLineChars="200"/>
        <w:rPr>
          <w:rFonts w:eastAsia="仿宋_GB2312"/>
          <w:sz w:val="32"/>
          <w:szCs w:val="32"/>
        </w:rPr>
      </w:pPr>
      <w:r>
        <w:rPr>
          <w:rFonts w:hint="eastAsia" w:eastAsia="仿宋_GB2312"/>
          <w:sz w:val="32"/>
          <w:szCs w:val="32"/>
        </w:rPr>
        <w:t xml:space="preserve"> </w:t>
      </w:r>
    </w:p>
    <w:p>
      <w:pPr>
        <w:spacing w:line="360" w:lineRule="auto"/>
        <w:ind w:firstLine="640" w:firstLineChars="200"/>
        <w:rPr>
          <w:rFonts w:eastAsia="仿宋_GB2312"/>
          <w:sz w:val="32"/>
          <w:szCs w:val="32"/>
        </w:rPr>
      </w:pPr>
      <w:r>
        <w:rPr>
          <w:rFonts w:hint="eastAsia" w:eastAsia="仿宋_GB2312"/>
          <w:sz w:val="32"/>
          <w:szCs w:val="32"/>
        </w:rPr>
        <w:t>供应商名称（加盖公章）：</w:t>
      </w:r>
    </w:p>
    <w:p>
      <w:pPr>
        <w:spacing w:line="360" w:lineRule="auto"/>
        <w:ind w:firstLine="640" w:firstLineChars="200"/>
        <w:rPr>
          <w:rFonts w:eastAsia="仿宋_GB2312"/>
          <w:sz w:val="32"/>
          <w:szCs w:val="32"/>
        </w:rPr>
      </w:pPr>
      <w:r>
        <w:rPr>
          <w:rFonts w:hint="eastAsia" w:eastAsia="仿宋_GB2312"/>
          <w:sz w:val="32"/>
          <w:szCs w:val="32"/>
        </w:rPr>
        <w:t>法定代表人（签字或盖章）：</w:t>
      </w:r>
    </w:p>
    <w:p>
      <w:pPr>
        <w:spacing w:line="360" w:lineRule="auto"/>
        <w:ind w:firstLine="640" w:firstLineChars="200"/>
        <w:rPr>
          <w:rFonts w:eastAsia="仿宋_GB2312"/>
          <w:sz w:val="32"/>
          <w:szCs w:val="32"/>
        </w:rPr>
      </w:pPr>
      <w:r>
        <w:rPr>
          <w:rFonts w:hint="eastAsia" w:eastAsia="仿宋_GB2312"/>
          <w:sz w:val="32"/>
          <w:szCs w:val="32"/>
        </w:rPr>
        <w:t>日期：</w:t>
      </w:r>
    </w:p>
    <w:p>
      <w:pPr>
        <w:pStyle w:val="2"/>
        <w:rPr>
          <w:rFonts w:eastAsia="仿宋_GB2312"/>
          <w:sz w:val="32"/>
          <w:szCs w:val="32"/>
        </w:rPr>
      </w:pPr>
    </w:p>
    <w:p>
      <w:pPr>
        <w:pStyle w:val="2"/>
        <w:rPr>
          <w:rFonts w:eastAsia="仿宋_GB2312"/>
          <w:sz w:val="32"/>
          <w:szCs w:val="32"/>
        </w:rPr>
      </w:pPr>
    </w:p>
    <w:p>
      <w:pPr>
        <w:pStyle w:val="2"/>
        <w:rPr>
          <w:rFonts w:eastAsia="仿宋_GB2312"/>
          <w:sz w:val="32"/>
          <w:szCs w:val="32"/>
        </w:rPr>
      </w:pPr>
    </w:p>
    <w:p>
      <w:pPr>
        <w:pStyle w:val="2"/>
        <w:ind w:left="0" w:leftChars="0" w:firstLine="0"/>
        <w:rPr>
          <w:rFonts w:eastAsia="仿宋_GB2312"/>
          <w:sz w:val="32"/>
          <w:szCs w:val="32"/>
        </w:rPr>
      </w:pPr>
    </w:p>
    <w:p>
      <w:pPr>
        <w:pStyle w:val="32"/>
        <w:numPr>
          <w:ilvl w:val="0"/>
          <w:numId w:val="2"/>
        </w:numPr>
        <w:spacing w:line="360" w:lineRule="auto"/>
        <w:ind w:left="0" w:firstLine="0" w:firstLineChars="0"/>
        <w:jc w:val="left"/>
        <w:outlineLvl w:val="1"/>
        <w:rPr>
          <w:rFonts w:ascii="仿宋" w:hAnsi="仿宋" w:eastAsia="仿宋"/>
          <w:b/>
          <w:bCs/>
          <w:sz w:val="28"/>
          <w:szCs w:val="44"/>
        </w:rPr>
      </w:pPr>
      <w:r>
        <w:rPr>
          <w:rFonts w:hint="eastAsia" w:ascii="仿宋" w:hAnsi="仿宋" w:eastAsia="仿宋"/>
          <w:b/>
          <w:bCs/>
          <w:sz w:val="28"/>
          <w:szCs w:val="44"/>
        </w:rPr>
        <w:t>合同模板</w:t>
      </w:r>
    </w:p>
    <w:p>
      <w:pPr>
        <w:spacing w:line="360" w:lineRule="auto"/>
        <w:ind w:firstLine="0" w:firstLineChars="0"/>
        <w:rPr>
          <w:sz w:val="24"/>
          <w:szCs w:val="24"/>
        </w:rPr>
      </w:pPr>
      <w:r>
        <w:rPr>
          <w:sz w:val="24"/>
          <w:szCs w:val="24"/>
        </w:rPr>
        <w:t xml:space="preserve">甲方合同编号： </w:t>
      </w:r>
    </w:p>
    <w:p>
      <w:pPr>
        <w:spacing w:line="360" w:lineRule="auto"/>
        <w:ind w:firstLine="0" w:firstLineChars="0"/>
        <w:rPr>
          <w:sz w:val="24"/>
          <w:szCs w:val="24"/>
        </w:rPr>
      </w:pPr>
      <w:r>
        <w:rPr>
          <w:sz w:val="24"/>
          <w:szCs w:val="24"/>
        </w:rPr>
        <w:t>乙方合同编号：</w:t>
      </w:r>
    </w:p>
    <w:p>
      <w:pPr>
        <w:spacing w:line="360" w:lineRule="auto"/>
        <w:rPr>
          <w:b/>
          <w:sz w:val="24"/>
          <w:szCs w:val="24"/>
        </w:rPr>
      </w:pPr>
    </w:p>
    <w:p>
      <w:pPr>
        <w:spacing w:line="360" w:lineRule="auto"/>
        <w:jc w:val="center"/>
        <w:rPr>
          <w:rFonts w:hint="eastAsia" w:eastAsia="仿宋_GB2312"/>
          <w:b/>
          <w:sz w:val="32"/>
          <w:szCs w:val="32"/>
        </w:rPr>
      </w:pPr>
      <w:r>
        <w:rPr>
          <w:rFonts w:hint="eastAsia" w:eastAsia="仿宋_GB2312"/>
          <w:b/>
          <w:sz w:val="32"/>
          <w:szCs w:val="32"/>
        </w:rPr>
        <w:t>东莞市海心沙资源综合利用中心绿色工业服务项目</w:t>
      </w:r>
    </w:p>
    <w:p>
      <w:pPr>
        <w:spacing w:line="360" w:lineRule="auto"/>
        <w:jc w:val="center"/>
        <w:rPr>
          <w:rFonts w:eastAsia="仿宋_GB2312"/>
          <w:b/>
          <w:sz w:val="32"/>
          <w:szCs w:val="32"/>
        </w:rPr>
      </w:pPr>
      <w:r>
        <w:rPr>
          <w:rFonts w:hint="eastAsia" w:eastAsia="仿宋_GB2312"/>
          <w:b/>
          <w:sz w:val="32"/>
          <w:szCs w:val="32"/>
        </w:rPr>
        <w:t>检测中心阿贝尔闪点仪（ABA4）供货及安装</w:t>
      </w:r>
      <w:r>
        <w:rPr>
          <w:rFonts w:eastAsia="仿宋_GB2312"/>
          <w:b/>
          <w:sz w:val="32"/>
          <w:szCs w:val="32"/>
        </w:rPr>
        <w:t>合同</w:t>
      </w:r>
    </w:p>
    <w:p>
      <w:pPr>
        <w:spacing w:line="360" w:lineRule="auto"/>
        <w:rPr>
          <w:sz w:val="24"/>
          <w:szCs w:val="24"/>
        </w:rPr>
      </w:pPr>
      <w:r>
        <w:rPr>
          <w:sz w:val="24"/>
          <w:szCs w:val="24"/>
        </w:rPr>
        <w:t xml:space="preserve">                                                             </w:t>
      </w:r>
    </w:p>
    <w:p>
      <w:pPr>
        <w:spacing w:line="360" w:lineRule="auto"/>
        <w:ind w:firstLine="480" w:firstLineChars="200"/>
        <w:rPr>
          <w:bCs/>
          <w:kern w:val="0"/>
          <w:sz w:val="24"/>
          <w:szCs w:val="24"/>
        </w:rPr>
      </w:pPr>
      <w:r>
        <w:rPr>
          <w:bCs/>
          <w:kern w:val="0"/>
          <w:sz w:val="24"/>
          <w:szCs w:val="24"/>
        </w:rPr>
        <w:t xml:space="preserve">甲方： 东莞市新东欣环保投资有限公司 </w:t>
      </w:r>
    </w:p>
    <w:p>
      <w:pPr>
        <w:spacing w:line="360" w:lineRule="auto"/>
        <w:ind w:firstLine="480" w:firstLineChars="200"/>
        <w:rPr>
          <w:bCs/>
          <w:kern w:val="0"/>
          <w:sz w:val="24"/>
          <w:szCs w:val="24"/>
        </w:rPr>
      </w:pPr>
      <w:r>
        <w:rPr>
          <w:bCs/>
          <w:kern w:val="0"/>
          <w:sz w:val="24"/>
          <w:szCs w:val="24"/>
        </w:rPr>
        <w:t xml:space="preserve">乙方： </w:t>
      </w:r>
    </w:p>
    <w:p>
      <w:pPr>
        <w:spacing w:line="360" w:lineRule="auto"/>
        <w:ind w:firstLine="480" w:firstLineChars="200"/>
        <w:rPr>
          <w:sz w:val="24"/>
          <w:szCs w:val="24"/>
        </w:rPr>
      </w:pPr>
      <w:r>
        <w:rPr>
          <w:sz w:val="24"/>
          <w:szCs w:val="24"/>
        </w:rPr>
        <w:t xml:space="preserve"> </w:t>
      </w:r>
    </w:p>
    <w:p>
      <w:pPr>
        <w:spacing w:line="360" w:lineRule="auto"/>
        <w:ind w:firstLine="480" w:firstLineChars="200"/>
        <w:rPr>
          <w:sz w:val="24"/>
          <w:szCs w:val="24"/>
        </w:rPr>
      </w:pPr>
    </w:p>
    <w:p>
      <w:pPr>
        <w:spacing w:line="360" w:lineRule="auto"/>
        <w:ind w:firstLine="480" w:firstLineChars="200"/>
        <w:rPr>
          <w:sz w:val="24"/>
          <w:szCs w:val="24"/>
        </w:rPr>
      </w:pPr>
      <w:r>
        <w:rPr>
          <w:sz w:val="24"/>
          <w:szCs w:val="24"/>
        </w:rPr>
        <w:t>根据《中华人民共和国</w:t>
      </w:r>
      <w:r>
        <w:rPr>
          <w:rFonts w:hint="eastAsia"/>
          <w:sz w:val="24"/>
          <w:szCs w:val="24"/>
        </w:rPr>
        <w:t>民法典</w:t>
      </w:r>
      <w:r>
        <w:rPr>
          <w:sz w:val="24"/>
          <w:szCs w:val="24"/>
        </w:rPr>
        <w:t>》及其他有关法律、法规，遵循平等、自愿、公平和诚实信用的原则，甲乙双方就</w:t>
      </w:r>
      <w:r>
        <w:rPr>
          <w:rFonts w:hint="eastAsia"/>
          <w:sz w:val="24"/>
          <w:szCs w:val="24"/>
        </w:rPr>
        <w:t>东莞市海心沙资源综合利用中心绿色工业服务项目检测中心阿贝尔闪点仪（ABA4）供货及安装项目的</w:t>
      </w:r>
      <w:r>
        <w:rPr>
          <w:sz w:val="24"/>
          <w:szCs w:val="24"/>
        </w:rPr>
        <w:t>相关</w:t>
      </w:r>
      <w:r>
        <w:rPr>
          <w:rFonts w:hint="eastAsia"/>
          <w:sz w:val="24"/>
          <w:szCs w:val="24"/>
        </w:rPr>
        <w:t>供货及安装</w:t>
      </w:r>
      <w:r>
        <w:rPr>
          <w:sz w:val="24"/>
          <w:szCs w:val="24"/>
        </w:rPr>
        <w:t>事宜协商一致，特订立本合同，由甲乙双方共同遵守履行。</w:t>
      </w:r>
    </w:p>
    <w:p>
      <w:pPr>
        <w:spacing w:line="360" w:lineRule="auto"/>
        <w:ind w:firstLine="482" w:firstLineChars="200"/>
        <w:rPr>
          <w:b/>
          <w:sz w:val="24"/>
          <w:szCs w:val="24"/>
        </w:rPr>
      </w:pPr>
      <w:r>
        <w:rPr>
          <w:b/>
          <w:sz w:val="24"/>
          <w:szCs w:val="24"/>
        </w:rPr>
        <w:t>一、合同价款及要求</w:t>
      </w:r>
    </w:p>
    <w:p>
      <w:pPr>
        <w:spacing w:line="360" w:lineRule="auto"/>
        <w:ind w:firstLine="480" w:firstLineChars="200"/>
        <w:rPr>
          <w:sz w:val="24"/>
          <w:szCs w:val="24"/>
        </w:rPr>
      </w:pPr>
      <w:r>
        <w:rPr>
          <w:rFonts w:hint="eastAsia"/>
          <w:sz w:val="24"/>
          <w:szCs w:val="24"/>
        </w:rPr>
        <w:t>本项目合同价款总额：含税总价为人民币      元（大写：     ），其中增值税税率为   %，税金金额为人民币   元（大写：    ），不含税合同总价款为人民币   元（大写：     ）。</w:t>
      </w:r>
      <w:r>
        <w:rPr>
          <w:sz w:val="24"/>
          <w:szCs w:val="24"/>
        </w:rPr>
        <w:t>合同价格含</w:t>
      </w:r>
      <w:r>
        <w:rPr>
          <w:rFonts w:hint="eastAsia"/>
          <w:sz w:val="24"/>
          <w:szCs w:val="24"/>
        </w:rPr>
        <w:t>仪器设备需求清单中的实验仪器采购、保管、运输、安装、调试、操作技术指导及相应的售后服务工作，以及乙方履行本合同下的其他义务所应收取的全部费用。供货及安装</w:t>
      </w:r>
      <w:r>
        <w:rPr>
          <w:sz w:val="24"/>
          <w:szCs w:val="24"/>
        </w:rPr>
        <w:t>具体要求详见合同附件1《</w:t>
      </w:r>
      <w:r>
        <w:rPr>
          <w:rFonts w:hint="eastAsia"/>
          <w:sz w:val="24"/>
          <w:szCs w:val="24"/>
        </w:rPr>
        <w:t>报价</w:t>
      </w:r>
      <w:r>
        <w:rPr>
          <w:sz w:val="24"/>
          <w:szCs w:val="24"/>
        </w:rPr>
        <w:t>清单》</w:t>
      </w:r>
      <w:r>
        <w:rPr>
          <w:rFonts w:hint="eastAsia"/>
          <w:sz w:val="24"/>
          <w:szCs w:val="24"/>
        </w:rPr>
        <w:t>及附件2《</w:t>
      </w:r>
      <w:bookmarkStart w:id="14" w:name="_Hlk29477515"/>
      <w:r>
        <w:rPr>
          <w:rFonts w:hint="eastAsia"/>
          <w:sz w:val="24"/>
          <w:szCs w:val="24"/>
        </w:rPr>
        <w:t>技术规格书</w:t>
      </w:r>
      <w:bookmarkEnd w:id="14"/>
      <w:r>
        <w:rPr>
          <w:rFonts w:hint="eastAsia"/>
          <w:sz w:val="24"/>
          <w:szCs w:val="24"/>
        </w:rPr>
        <w:t>》</w:t>
      </w:r>
      <w:r>
        <w:rPr>
          <w:sz w:val="24"/>
          <w:szCs w:val="24"/>
        </w:rPr>
        <w:t>。</w:t>
      </w:r>
    </w:p>
    <w:p>
      <w:pPr>
        <w:spacing w:line="360" w:lineRule="auto"/>
        <w:ind w:firstLine="482" w:firstLineChars="200"/>
        <w:rPr>
          <w:b/>
          <w:sz w:val="24"/>
          <w:szCs w:val="24"/>
        </w:rPr>
      </w:pPr>
      <w:r>
        <w:rPr>
          <w:b/>
          <w:sz w:val="24"/>
          <w:szCs w:val="24"/>
        </w:rPr>
        <w:t>二、交货</w:t>
      </w:r>
      <w:r>
        <w:rPr>
          <w:rFonts w:hint="eastAsia"/>
          <w:b/>
          <w:sz w:val="24"/>
          <w:szCs w:val="24"/>
        </w:rPr>
        <w:t>及安装</w:t>
      </w:r>
      <w:r>
        <w:rPr>
          <w:b/>
          <w:sz w:val="24"/>
          <w:szCs w:val="24"/>
        </w:rPr>
        <w:t>时间、地点</w:t>
      </w:r>
    </w:p>
    <w:p>
      <w:pPr>
        <w:spacing w:line="360" w:lineRule="auto"/>
        <w:ind w:firstLine="480" w:firstLineChars="200"/>
        <w:rPr>
          <w:sz w:val="24"/>
          <w:szCs w:val="24"/>
        </w:rPr>
      </w:pPr>
      <w:r>
        <w:rPr>
          <w:sz w:val="24"/>
          <w:szCs w:val="24"/>
        </w:rPr>
        <w:t>（一）</w:t>
      </w:r>
      <w:r>
        <w:rPr>
          <w:rFonts w:hint="eastAsia"/>
          <w:sz w:val="24"/>
          <w:szCs w:val="24"/>
        </w:rPr>
        <w:t>交货时间：收到结果确认函之日起</w:t>
      </w:r>
      <w:r>
        <w:rPr>
          <w:rFonts w:hint="eastAsia"/>
          <w:sz w:val="24"/>
          <w:szCs w:val="24"/>
          <w:lang w:val="en-US" w:eastAsia="zh-CN"/>
        </w:rPr>
        <w:t>90</w:t>
      </w:r>
      <w:r>
        <w:rPr>
          <w:rFonts w:hint="eastAsia"/>
          <w:sz w:val="24"/>
          <w:szCs w:val="24"/>
        </w:rPr>
        <w:t>个日历日内完成交货和安装验收。</w:t>
      </w:r>
    </w:p>
    <w:p>
      <w:pPr>
        <w:spacing w:line="360" w:lineRule="auto"/>
        <w:ind w:firstLine="480" w:firstLineChars="200"/>
        <w:rPr>
          <w:sz w:val="24"/>
          <w:szCs w:val="24"/>
        </w:rPr>
      </w:pPr>
      <w:r>
        <w:rPr>
          <w:sz w:val="24"/>
          <w:szCs w:val="24"/>
        </w:rPr>
        <w:t>（二）交货</w:t>
      </w:r>
      <w:r>
        <w:rPr>
          <w:rFonts w:hint="eastAsia"/>
          <w:sz w:val="24"/>
          <w:szCs w:val="24"/>
        </w:rPr>
        <w:t>及安装服务</w:t>
      </w:r>
      <w:r>
        <w:rPr>
          <w:sz w:val="24"/>
          <w:szCs w:val="24"/>
        </w:rPr>
        <w:t>地点：</w:t>
      </w:r>
      <w:r>
        <w:rPr>
          <w:rFonts w:hint="eastAsia"/>
          <w:sz w:val="24"/>
          <w:szCs w:val="24"/>
        </w:rPr>
        <w:t>东莞市麻涌镇大步村海心沙岛检测中心大楼。</w:t>
      </w:r>
    </w:p>
    <w:p>
      <w:pPr>
        <w:spacing w:line="360" w:lineRule="auto"/>
        <w:ind w:firstLine="480" w:firstLineChars="200"/>
        <w:rPr>
          <w:sz w:val="24"/>
          <w:szCs w:val="24"/>
        </w:rPr>
      </w:pPr>
      <w:r>
        <w:rPr>
          <w:sz w:val="24"/>
          <w:szCs w:val="24"/>
        </w:rPr>
        <w:t>（三）</w:t>
      </w:r>
      <w:r>
        <w:rPr>
          <w:rFonts w:hint="eastAsia"/>
          <w:sz w:val="24"/>
          <w:szCs w:val="24"/>
        </w:rPr>
        <w:t>乙方</w:t>
      </w:r>
      <w:r>
        <w:rPr>
          <w:sz w:val="24"/>
          <w:szCs w:val="24"/>
        </w:rPr>
        <w:t>所提供货物的</w:t>
      </w:r>
      <w:r>
        <w:rPr>
          <w:rFonts w:hint="eastAsia"/>
          <w:sz w:val="24"/>
          <w:szCs w:val="24"/>
        </w:rPr>
        <w:t>规格及清单</w:t>
      </w:r>
      <w:r>
        <w:rPr>
          <w:sz w:val="24"/>
          <w:szCs w:val="24"/>
        </w:rPr>
        <w:t>必须经</w:t>
      </w:r>
      <w:r>
        <w:rPr>
          <w:rFonts w:hint="eastAsia"/>
          <w:sz w:val="24"/>
          <w:szCs w:val="24"/>
        </w:rPr>
        <w:t>甲方书面</w:t>
      </w:r>
      <w:r>
        <w:rPr>
          <w:sz w:val="24"/>
          <w:szCs w:val="24"/>
        </w:rPr>
        <w:t>确认后进行供货，否则视为不合格货物予以退货，因此造成的任何损失由</w:t>
      </w:r>
      <w:r>
        <w:rPr>
          <w:rFonts w:hint="eastAsia"/>
          <w:sz w:val="24"/>
          <w:szCs w:val="24"/>
        </w:rPr>
        <w:t>乙方</w:t>
      </w:r>
      <w:r>
        <w:rPr>
          <w:sz w:val="24"/>
          <w:szCs w:val="24"/>
        </w:rPr>
        <w:t xml:space="preserve">承担。 </w:t>
      </w:r>
    </w:p>
    <w:p>
      <w:pPr>
        <w:spacing w:line="360" w:lineRule="auto"/>
        <w:ind w:firstLine="480" w:firstLineChars="200"/>
        <w:rPr>
          <w:bCs/>
          <w:sz w:val="24"/>
          <w:szCs w:val="24"/>
        </w:rPr>
      </w:pPr>
      <w:r>
        <w:rPr>
          <w:rFonts w:hint="eastAsia"/>
          <w:sz w:val="24"/>
          <w:szCs w:val="24"/>
        </w:rPr>
        <w:t>（四）如货物</w:t>
      </w:r>
      <w:r>
        <w:rPr>
          <w:rFonts w:hint="eastAsia"/>
          <w:bCs/>
          <w:sz w:val="24"/>
          <w:szCs w:val="24"/>
        </w:rPr>
        <w:t>随附装箱清单、质量合格证明书、</w:t>
      </w:r>
      <w:r>
        <w:rPr>
          <w:rFonts w:hint="eastAsia"/>
          <w:sz w:val="24"/>
          <w:szCs w:val="24"/>
        </w:rPr>
        <w:t>图纸资料、技术文件等</w:t>
      </w:r>
      <w:r>
        <w:rPr>
          <w:rFonts w:hint="eastAsia"/>
          <w:bCs/>
          <w:sz w:val="24"/>
          <w:szCs w:val="24"/>
        </w:rPr>
        <w:t>文件</w:t>
      </w:r>
      <w:r>
        <w:rPr>
          <w:rFonts w:hint="eastAsia"/>
          <w:sz w:val="24"/>
          <w:szCs w:val="24"/>
        </w:rPr>
        <w:t>资料的，乙方应于交货时一并交付该等文件资料，并且确保</w:t>
      </w:r>
      <w:r>
        <w:rPr>
          <w:rFonts w:hint="eastAsia"/>
          <w:bCs/>
          <w:sz w:val="24"/>
          <w:szCs w:val="24"/>
        </w:rPr>
        <w:t>该等资料有相应的、能够保证文件完好的包封，符合本合同附件的要求。</w:t>
      </w:r>
    </w:p>
    <w:p>
      <w:pPr>
        <w:spacing w:line="360" w:lineRule="auto"/>
        <w:ind w:firstLine="480" w:firstLineChars="200"/>
        <w:rPr>
          <w:bCs/>
          <w:sz w:val="24"/>
          <w:szCs w:val="24"/>
        </w:rPr>
      </w:pPr>
      <w:r>
        <w:rPr>
          <w:bCs/>
          <w:sz w:val="24"/>
          <w:szCs w:val="24"/>
        </w:rPr>
        <w:t>（</w:t>
      </w:r>
      <w:r>
        <w:rPr>
          <w:rFonts w:hint="eastAsia"/>
          <w:bCs/>
          <w:sz w:val="24"/>
          <w:szCs w:val="24"/>
        </w:rPr>
        <w:t>五）质量标准：</w:t>
      </w:r>
    </w:p>
    <w:p>
      <w:pPr>
        <w:spacing w:line="360" w:lineRule="auto"/>
        <w:ind w:firstLine="480" w:firstLineChars="200"/>
        <w:rPr>
          <w:sz w:val="24"/>
          <w:szCs w:val="24"/>
        </w:rPr>
      </w:pPr>
      <w:r>
        <w:rPr>
          <w:rFonts w:hint="eastAsia"/>
          <w:sz w:val="24"/>
          <w:szCs w:val="24"/>
        </w:rPr>
        <w:t>本合同所指的货物及服务应符合甲方</w:t>
      </w:r>
      <w:r>
        <w:rPr>
          <w:sz w:val="24"/>
          <w:szCs w:val="24"/>
        </w:rPr>
        <w:t>要求</w:t>
      </w:r>
      <w:r>
        <w:rPr>
          <w:rFonts w:hint="eastAsia"/>
          <w:sz w:val="24"/>
          <w:szCs w:val="24"/>
        </w:rPr>
        <w:t>的技术规格和标准（见本合同的全部附件）；如果没有提及适用标准，则应符合中华人民共和国国家标准或行业标准；如果中华人民共和国没有相关标准的，则采用货物来源国适用的官方标准。这些标准必须是有关机构发布的最新版本的标准。进口货物必须具备有效的原产地证明、商检部门的检验证明及合法进口渠道证明。以上标准以最严的为准。</w:t>
      </w:r>
    </w:p>
    <w:p>
      <w:pPr>
        <w:spacing w:line="360" w:lineRule="auto"/>
        <w:ind w:firstLine="482" w:firstLineChars="200"/>
        <w:rPr>
          <w:b/>
          <w:sz w:val="24"/>
          <w:szCs w:val="24"/>
        </w:rPr>
      </w:pPr>
      <w:r>
        <w:rPr>
          <w:b/>
          <w:sz w:val="24"/>
          <w:szCs w:val="24"/>
        </w:rPr>
        <w:t>三、付款方式</w:t>
      </w:r>
    </w:p>
    <w:p>
      <w:pPr>
        <w:spacing w:line="360" w:lineRule="auto"/>
        <w:ind w:firstLine="480" w:firstLineChars="200"/>
        <w:rPr>
          <w:sz w:val="24"/>
          <w:szCs w:val="24"/>
        </w:rPr>
      </w:pPr>
      <w:r>
        <w:rPr>
          <w:rFonts w:hint="eastAsia"/>
          <w:sz w:val="24"/>
          <w:szCs w:val="24"/>
        </w:rPr>
        <w:t>1、乙方在合同签订之日起10天内，向甲方提交金额为本合同总价5%的不可撤销银行履约保函或履约保证金作为履行合同的担保。</w:t>
      </w:r>
    </w:p>
    <w:p>
      <w:pPr>
        <w:spacing w:line="360" w:lineRule="auto"/>
        <w:ind w:firstLine="480" w:firstLineChars="200"/>
        <w:rPr>
          <w:sz w:val="24"/>
          <w:szCs w:val="24"/>
        </w:rPr>
      </w:pPr>
      <w:r>
        <w:rPr>
          <w:rFonts w:hint="eastAsia"/>
          <w:sz w:val="24"/>
          <w:szCs w:val="24"/>
        </w:rPr>
        <w:t>2、合同签订后30个日历日内，甲方在收到乙方有效请款资料（包含但不限于：对应金额之真实有效的增值税专用发票、请款函等，下同）后向乙方支付合同总额的20%作为定金；</w:t>
      </w:r>
    </w:p>
    <w:p>
      <w:pPr>
        <w:spacing w:line="360" w:lineRule="auto"/>
        <w:ind w:firstLine="480" w:firstLineChars="200"/>
        <w:rPr>
          <w:sz w:val="24"/>
          <w:szCs w:val="24"/>
        </w:rPr>
      </w:pPr>
      <w:r>
        <w:rPr>
          <w:rFonts w:hint="eastAsia"/>
          <w:sz w:val="24"/>
          <w:szCs w:val="24"/>
        </w:rPr>
        <w:t>3、所有货物到达并完成安装调试，经甲方验收合格后，甲方在收到</w:t>
      </w:r>
      <w:r>
        <w:rPr>
          <w:rFonts w:hint="eastAsia"/>
          <w:sz w:val="24"/>
          <w:szCs w:val="24"/>
          <w:lang w:val="en-US" w:eastAsia="zh-CN"/>
        </w:rPr>
        <w:t>乙方</w:t>
      </w:r>
      <w:r>
        <w:rPr>
          <w:rFonts w:hint="eastAsia"/>
          <w:sz w:val="24"/>
          <w:szCs w:val="24"/>
        </w:rPr>
        <w:t>有效请款资料及等额有效增值税专用发票30个日历日内向乙方支付至合同总额的95%；</w:t>
      </w:r>
    </w:p>
    <w:p>
      <w:pPr>
        <w:spacing w:line="360" w:lineRule="auto"/>
        <w:ind w:firstLine="480" w:firstLineChars="200"/>
        <w:rPr>
          <w:sz w:val="24"/>
          <w:szCs w:val="24"/>
        </w:rPr>
      </w:pPr>
      <w:r>
        <w:rPr>
          <w:rFonts w:hint="eastAsia"/>
          <w:sz w:val="24"/>
          <w:szCs w:val="24"/>
        </w:rPr>
        <w:t>4、剩余合同总额</w:t>
      </w:r>
      <w:r>
        <w:rPr>
          <w:sz w:val="24"/>
          <w:szCs w:val="24"/>
        </w:rPr>
        <w:t>5%</w:t>
      </w:r>
      <w:r>
        <w:rPr>
          <w:rFonts w:hint="eastAsia"/>
          <w:sz w:val="24"/>
          <w:szCs w:val="24"/>
        </w:rPr>
        <w:t>作为质保金，在本项目验收合格满一年后，甲方在收到乙方有效请款资料及等额有效增值税专用发票的30个日历日内无息退还质保金。</w:t>
      </w:r>
    </w:p>
    <w:p>
      <w:pPr>
        <w:spacing w:line="360" w:lineRule="auto"/>
        <w:ind w:firstLine="480" w:firstLineChars="200"/>
        <w:rPr>
          <w:sz w:val="24"/>
          <w:szCs w:val="24"/>
        </w:rPr>
      </w:pPr>
      <w:r>
        <w:rPr>
          <w:rFonts w:hint="eastAsia"/>
          <w:sz w:val="24"/>
          <w:szCs w:val="24"/>
        </w:rPr>
        <w:t>5、</w:t>
      </w:r>
      <w:r>
        <w:rPr>
          <w:sz w:val="24"/>
          <w:szCs w:val="24"/>
        </w:rPr>
        <w:t>乙方在</w:t>
      </w:r>
      <w:r>
        <w:rPr>
          <w:rFonts w:hint="eastAsia"/>
          <w:sz w:val="24"/>
          <w:szCs w:val="24"/>
        </w:rPr>
        <w:t>合同签订后</w:t>
      </w:r>
      <w:r>
        <w:rPr>
          <w:sz w:val="24"/>
          <w:szCs w:val="24"/>
        </w:rPr>
        <w:t>缴存的</w:t>
      </w:r>
      <w:r>
        <w:rPr>
          <w:rFonts w:hint="eastAsia"/>
          <w:sz w:val="24"/>
          <w:szCs w:val="24"/>
        </w:rPr>
        <w:t>履约保证金返还申请时间为验收合格之日后（除质保验收外的最后一个验收节点），</w:t>
      </w:r>
      <w:r>
        <w:rPr>
          <w:sz w:val="24"/>
          <w:szCs w:val="24"/>
        </w:rPr>
        <w:t>乙方</w:t>
      </w:r>
      <w:r>
        <w:rPr>
          <w:rFonts w:hint="eastAsia"/>
          <w:sz w:val="24"/>
          <w:szCs w:val="24"/>
        </w:rPr>
        <w:t>没有任何违约的情况下由乙方提交退款申请，收到</w:t>
      </w:r>
      <w:r>
        <w:rPr>
          <w:sz w:val="24"/>
          <w:szCs w:val="24"/>
        </w:rPr>
        <w:t>乙方</w:t>
      </w:r>
      <w:r>
        <w:rPr>
          <w:rFonts w:hint="eastAsia"/>
          <w:sz w:val="24"/>
          <w:szCs w:val="24"/>
        </w:rPr>
        <w:t>申请后30个日历日内，甲方一次性无息退回。</w:t>
      </w:r>
    </w:p>
    <w:p>
      <w:pPr>
        <w:spacing w:line="360" w:lineRule="auto"/>
        <w:ind w:firstLine="480" w:firstLineChars="200"/>
        <w:rPr>
          <w:sz w:val="24"/>
          <w:szCs w:val="24"/>
        </w:rPr>
      </w:pPr>
      <w:r>
        <w:rPr>
          <w:sz w:val="24"/>
          <w:szCs w:val="24"/>
        </w:rPr>
        <w:t>（二）</w:t>
      </w:r>
      <w:r>
        <w:rPr>
          <w:rFonts w:hint="eastAsia"/>
          <w:sz w:val="24"/>
          <w:szCs w:val="24"/>
        </w:rPr>
        <w:t>乙方的收款账户如下：</w:t>
      </w:r>
    </w:p>
    <w:p>
      <w:pPr>
        <w:spacing w:line="360" w:lineRule="auto"/>
        <w:ind w:firstLine="480" w:firstLineChars="200"/>
        <w:rPr>
          <w:sz w:val="24"/>
          <w:szCs w:val="24"/>
        </w:rPr>
      </w:pPr>
      <w:r>
        <w:rPr>
          <w:sz w:val="24"/>
          <w:szCs w:val="24"/>
        </w:rPr>
        <w:t xml:space="preserve">开户银行： </w:t>
      </w:r>
    </w:p>
    <w:p>
      <w:pPr>
        <w:ind w:firstLine="480" w:firstLineChars="200"/>
        <w:rPr>
          <w:sz w:val="24"/>
          <w:szCs w:val="24"/>
        </w:rPr>
      </w:pPr>
      <w:r>
        <w:rPr>
          <w:rFonts w:hint="default" w:eastAsia="宋体"/>
          <w:sz w:val="24"/>
          <w:szCs w:val="24"/>
        </w:rPr>
        <w:t>开户行账号：</w:t>
      </w:r>
    </w:p>
    <w:p>
      <w:pPr>
        <w:ind w:firstLine="480" w:firstLineChars="200"/>
        <w:rPr>
          <w:sz w:val="24"/>
          <w:szCs w:val="24"/>
        </w:rPr>
      </w:pPr>
      <w:r>
        <w:rPr>
          <w:sz w:val="24"/>
          <w:szCs w:val="24"/>
        </w:rPr>
        <w:t>收款单位</w:t>
      </w:r>
      <w:r>
        <w:rPr>
          <w:rFonts w:hint="eastAsia"/>
          <w:sz w:val="24"/>
          <w:szCs w:val="24"/>
        </w:rPr>
        <w:t>名称</w:t>
      </w:r>
      <w:r>
        <w:rPr>
          <w:sz w:val="24"/>
          <w:szCs w:val="24"/>
        </w:rPr>
        <w:t>：</w:t>
      </w:r>
    </w:p>
    <w:p>
      <w:pPr>
        <w:pStyle w:val="40"/>
        <w:widowControl/>
        <w:spacing w:line="360" w:lineRule="auto"/>
        <w:ind w:firstLine="480"/>
        <w:rPr>
          <w:rFonts w:hint="eastAsia"/>
          <w:sz w:val="24"/>
          <w:szCs w:val="24"/>
        </w:rPr>
      </w:pPr>
      <w:r>
        <w:rPr>
          <w:rFonts w:hint="eastAsia"/>
          <w:sz w:val="24"/>
          <w:szCs w:val="24"/>
        </w:rPr>
        <w:t xml:space="preserve">收款单位统一社会信用代码（纳税人识别号）： </w:t>
      </w:r>
    </w:p>
    <w:p>
      <w:pPr>
        <w:pStyle w:val="40"/>
        <w:widowControl/>
        <w:spacing w:line="360" w:lineRule="auto"/>
        <w:ind w:firstLine="480"/>
        <w:rPr>
          <w:sz w:val="24"/>
          <w:szCs w:val="24"/>
        </w:rPr>
      </w:pPr>
      <w:r>
        <w:rPr>
          <w:rFonts w:hint="eastAsia"/>
          <w:sz w:val="24"/>
          <w:szCs w:val="24"/>
        </w:rPr>
        <w:t>因乙方收款账户信息填写错误、变更账户、账户被冻结等非甲方原因，导致乙方未能收到本合同款项的，甲方不承担责任。</w:t>
      </w:r>
    </w:p>
    <w:p>
      <w:pPr>
        <w:spacing w:line="360" w:lineRule="auto"/>
        <w:rPr>
          <w:b/>
          <w:bCs/>
          <w:sz w:val="24"/>
          <w:szCs w:val="24"/>
        </w:rPr>
      </w:pPr>
      <w:r>
        <w:rPr>
          <w:b/>
          <w:bCs/>
          <w:sz w:val="24"/>
          <w:szCs w:val="24"/>
        </w:rPr>
        <w:t>四、货物的验收和服务</w:t>
      </w:r>
    </w:p>
    <w:p>
      <w:pPr>
        <w:spacing w:line="360" w:lineRule="auto"/>
        <w:ind w:firstLine="480" w:firstLineChars="200"/>
        <w:rPr>
          <w:sz w:val="24"/>
          <w:szCs w:val="24"/>
        </w:rPr>
      </w:pPr>
      <w:r>
        <w:rPr>
          <w:sz w:val="24"/>
          <w:szCs w:val="24"/>
        </w:rPr>
        <w:t>（一）货物送达甲方指定地点后，在甲乙双方共同参加下进行验收。</w:t>
      </w:r>
      <w:r>
        <w:rPr>
          <w:rFonts w:hint="eastAsia"/>
          <w:sz w:val="24"/>
          <w:szCs w:val="24"/>
        </w:rPr>
        <w:t>验收期为货到后7个工作日内，甲方对设备质量有异议应在验收期内书面向乙方提出。验收标准参照合同附件要求。</w:t>
      </w:r>
    </w:p>
    <w:p>
      <w:pPr>
        <w:spacing w:line="360" w:lineRule="auto"/>
        <w:ind w:firstLine="480"/>
        <w:rPr>
          <w:sz w:val="24"/>
          <w:szCs w:val="24"/>
        </w:rPr>
      </w:pPr>
      <w:r>
        <w:rPr>
          <w:sz w:val="24"/>
          <w:szCs w:val="24"/>
        </w:rPr>
        <w:t>（二）货物的包装均应有良好的防湿、防锈、防潮、防雨、防腐及防碰撞的措施</w:t>
      </w:r>
      <w:r>
        <w:rPr>
          <w:rFonts w:hint="eastAsia"/>
          <w:sz w:val="24"/>
          <w:szCs w:val="24"/>
        </w:rPr>
        <w:t>，</w:t>
      </w:r>
      <w:r>
        <w:rPr>
          <w:rFonts w:hint="eastAsia"/>
          <w:bCs/>
          <w:sz w:val="24"/>
          <w:szCs w:val="24"/>
        </w:rPr>
        <w:t>在正常情况下能够保证货物的完好</w:t>
      </w:r>
      <w:r>
        <w:rPr>
          <w:sz w:val="24"/>
          <w:szCs w:val="24"/>
        </w:rPr>
        <w:t>。凡由于包装不良造成的损失和由此产生的费用均由乙方承担。</w:t>
      </w:r>
    </w:p>
    <w:p>
      <w:pPr>
        <w:spacing w:line="360" w:lineRule="auto"/>
        <w:ind w:firstLine="480" w:firstLineChars="200"/>
        <w:rPr>
          <w:sz w:val="24"/>
          <w:szCs w:val="24"/>
        </w:rPr>
      </w:pPr>
      <w:r>
        <w:rPr>
          <w:sz w:val="24"/>
          <w:szCs w:val="24"/>
        </w:rPr>
        <w:t>（三）验收按国家有关的规定、规范</w:t>
      </w:r>
      <w:r>
        <w:rPr>
          <w:rFonts w:hint="eastAsia"/>
          <w:sz w:val="24"/>
          <w:szCs w:val="24"/>
        </w:rPr>
        <w:t>、本合同及附件</w:t>
      </w:r>
      <w:r>
        <w:rPr>
          <w:sz w:val="24"/>
          <w:szCs w:val="24"/>
        </w:rPr>
        <w:t>进行。验收时如发现所交付的货物有短装、次品、损坏</w:t>
      </w:r>
      <w:r>
        <w:rPr>
          <w:rFonts w:hint="eastAsia"/>
          <w:sz w:val="24"/>
          <w:szCs w:val="24"/>
        </w:rPr>
        <w:t>、质量不合格</w:t>
      </w:r>
      <w:r>
        <w:rPr>
          <w:sz w:val="24"/>
          <w:szCs w:val="24"/>
        </w:rPr>
        <w:t>或不符合国家有关的规定、规范</w:t>
      </w:r>
      <w:r>
        <w:rPr>
          <w:rFonts w:hint="eastAsia"/>
          <w:sz w:val="24"/>
          <w:szCs w:val="24"/>
        </w:rPr>
        <w:t>、行业标准或</w:t>
      </w:r>
      <w:r>
        <w:rPr>
          <w:sz w:val="24"/>
          <w:szCs w:val="24"/>
        </w:rPr>
        <w:t>其它</w:t>
      </w:r>
      <w:r>
        <w:rPr>
          <w:rFonts w:hint="eastAsia"/>
          <w:sz w:val="24"/>
          <w:szCs w:val="24"/>
        </w:rPr>
        <w:t>不符合</w:t>
      </w:r>
      <w:r>
        <w:rPr>
          <w:sz w:val="24"/>
          <w:szCs w:val="24"/>
        </w:rPr>
        <w:t>本合同</w:t>
      </w:r>
      <w:r>
        <w:rPr>
          <w:rFonts w:hint="eastAsia"/>
          <w:sz w:val="24"/>
          <w:szCs w:val="24"/>
        </w:rPr>
        <w:t>及附件的</w:t>
      </w:r>
      <w:r>
        <w:rPr>
          <w:sz w:val="24"/>
          <w:szCs w:val="24"/>
        </w:rPr>
        <w:t>规定之情形者，甲方</w:t>
      </w:r>
      <w:r>
        <w:rPr>
          <w:rFonts w:hint="eastAsia"/>
          <w:sz w:val="24"/>
          <w:szCs w:val="24"/>
        </w:rPr>
        <w:t>有权要求乙方立即予以补足、修复或更换。</w:t>
      </w:r>
    </w:p>
    <w:p>
      <w:pPr>
        <w:spacing w:line="360" w:lineRule="auto"/>
        <w:ind w:firstLine="480" w:firstLineChars="200"/>
        <w:rPr>
          <w:sz w:val="24"/>
          <w:szCs w:val="24"/>
        </w:rPr>
      </w:pPr>
      <w:r>
        <w:rPr>
          <w:rFonts w:hint="eastAsia"/>
          <w:sz w:val="24"/>
          <w:szCs w:val="24"/>
        </w:rPr>
        <w:t>如甲方选择更换的，乙方应在10个日历日内更换，并且承担甲方由此产生的费用或损失，逾期处理的，则乙方应按照第六条第（一）款向甲方承担违约责任。期间乙方提供同等性能的设备给甲方周转使用至完成更换为止。</w:t>
      </w:r>
    </w:p>
    <w:p>
      <w:pPr>
        <w:spacing w:line="360" w:lineRule="auto"/>
        <w:ind w:firstLine="480" w:firstLineChars="200"/>
        <w:rPr>
          <w:sz w:val="24"/>
          <w:szCs w:val="24"/>
        </w:rPr>
      </w:pPr>
      <w:r>
        <w:rPr>
          <w:rFonts w:hint="eastAsia"/>
          <w:sz w:val="24"/>
          <w:szCs w:val="24"/>
        </w:rPr>
        <w:t>如甲方选择修复的，如乙方在收到甲方通知之日起10个日历天仍不能修复完毕的，甲方有权另行委托第三方公司完成相关修复，因此产生的费用和损失由乙方承担，</w:t>
      </w:r>
      <w:r>
        <w:rPr>
          <w:sz w:val="24"/>
          <w:szCs w:val="24"/>
        </w:rPr>
        <w:t>且乙方应向甲方支付</w:t>
      </w:r>
      <w:r>
        <w:rPr>
          <w:rFonts w:hint="eastAsia"/>
          <w:sz w:val="24"/>
          <w:szCs w:val="24"/>
        </w:rPr>
        <w:t>逾期修复货物价格的20</w:t>
      </w:r>
      <w:r>
        <w:rPr>
          <w:sz w:val="24"/>
          <w:szCs w:val="24"/>
        </w:rPr>
        <w:t>%</w:t>
      </w:r>
      <w:r>
        <w:rPr>
          <w:rFonts w:hint="eastAsia"/>
          <w:sz w:val="24"/>
          <w:szCs w:val="24"/>
        </w:rPr>
        <w:t>作为</w:t>
      </w:r>
      <w:r>
        <w:rPr>
          <w:sz w:val="24"/>
          <w:szCs w:val="24"/>
        </w:rPr>
        <w:t>违约金。</w:t>
      </w:r>
      <w:r>
        <w:rPr>
          <w:rFonts w:hint="eastAsia"/>
          <w:sz w:val="24"/>
          <w:szCs w:val="24"/>
        </w:rPr>
        <w:t>同时甲方有权从应支付给乙方的任何款项及履约保证金、质保金中扣除费用、违约金及损失。</w:t>
      </w:r>
      <w:r>
        <w:rPr>
          <w:sz w:val="24"/>
          <w:szCs w:val="24"/>
        </w:rPr>
        <w:t>不足</w:t>
      </w:r>
      <w:r>
        <w:rPr>
          <w:rFonts w:hint="eastAsia"/>
          <w:sz w:val="24"/>
          <w:szCs w:val="24"/>
        </w:rPr>
        <w:t>部分</w:t>
      </w:r>
      <w:r>
        <w:rPr>
          <w:sz w:val="24"/>
          <w:szCs w:val="24"/>
        </w:rPr>
        <w:t>，甲方有权另行追偿</w:t>
      </w:r>
      <w:r>
        <w:rPr>
          <w:rFonts w:hint="eastAsia"/>
          <w:sz w:val="24"/>
          <w:szCs w:val="24"/>
        </w:rPr>
        <w:t>。</w:t>
      </w:r>
    </w:p>
    <w:p>
      <w:pPr>
        <w:spacing w:line="360" w:lineRule="auto"/>
        <w:ind w:firstLine="480" w:firstLineChars="200"/>
        <w:rPr>
          <w:sz w:val="24"/>
          <w:szCs w:val="24"/>
        </w:rPr>
      </w:pPr>
      <w:r>
        <w:rPr>
          <w:rFonts w:hint="eastAsia"/>
          <w:sz w:val="24"/>
          <w:szCs w:val="24"/>
        </w:rPr>
        <w:t>如货物存在重大质量问题无法修复的，甲方有权选择退货，甲方无须向乙方支付任何费用，并有权要求乙方退还已支付的费用</w:t>
      </w:r>
      <w:r>
        <w:rPr>
          <w:sz w:val="24"/>
          <w:szCs w:val="24"/>
        </w:rPr>
        <w:t>，同时支付合同总金额</w:t>
      </w:r>
      <w:r>
        <w:rPr>
          <w:rFonts w:hint="eastAsia"/>
          <w:sz w:val="24"/>
          <w:szCs w:val="24"/>
        </w:rPr>
        <w:t>20</w:t>
      </w:r>
      <w:r>
        <w:rPr>
          <w:sz w:val="24"/>
          <w:szCs w:val="24"/>
        </w:rPr>
        <w:t>%的违约金，违约金不足以</w:t>
      </w:r>
      <w:r>
        <w:rPr>
          <w:rFonts w:hint="eastAsia"/>
          <w:sz w:val="24"/>
          <w:szCs w:val="24"/>
        </w:rPr>
        <w:t>赔偿因此</w:t>
      </w:r>
      <w:r>
        <w:rPr>
          <w:sz w:val="24"/>
          <w:szCs w:val="24"/>
        </w:rPr>
        <w:t>给甲方</w:t>
      </w:r>
      <w:r>
        <w:rPr>
          <w:rFonts w:hint="eastAsia"/>
          <w:sz w:val="24"/>
          <w:szCs w:val="24"/>
        </w:rPr>
        <w:t>造成</w:t>
      </w:r>
      <w:r>
        <w:rPr>
          <w:sz w:val="24"/>
          <w:szCs w:val="24"/>
        </w:rPr>
        <w:t>的</w:t>
      </w:r>
      <w:r>
        <w:rPr>
          <w:rFonts w:hint="eastAsia"/>
          <w:sz w:val="24"/>
          <w:szCs w:val="24"/>
        </w:rPr>
        <w:t>损失</w:t>
      </w:r>
      <w:r>
        <w:rPr>
          <w:sz w:val="24"/>
          <w:szCs w:val="24"/>
        </w:rPr>
        <w:t>的，甲方有权另行追偿</w:t>
      </w:r>
      <w:r>
        <w:rPr>
          <w:rFonts w:hint="eastAsia"/>
          <w:sz w:val="24"/>
          <w:szCs w:val="24"/>
        </w:rPr>
        <w:t>。同时甲方有权从应支付给乙方的任何款项中扣除费用、违约金及损失。</w:t>
      </w:r>
      <w:r>
        <w:rPr>
          <w:sz w:val="24"/>
          <w:szCs w:val="24"/>
        </w:rPr>
        <w:t>不足</w:t>
      </w:r>
      <w:r>
        <w:rPr>
          <w:rFonts w:hint="eastAsia"/>
          <w:sz w:val="24"/>
          <w:szCs w:val="24"/>
        </w:rPr>
        <w:t>部分</w:t>
      </w:r>
      <w:r>
        <w:rPr>
          <w:sz w:val="24"/>
          <w:szCs w:val="24"/>
        </w:rPr>
        <w:t>，甲方有权另行追偿</w:t>
      </w:r>
      <w:r>
        <w:rPr>
          <w:rFonts w:hint="eastAsia"/>
          <w:sz w:val="24"/>
          <w:szCs w:val="24"/>
        </w:rPr>
        <w:t>。如甲、乙双方对货物的质量问题无法达成一致的，甲方有权聘请第三方机构进行检测，如检测结果为货物存在质量问题，则检测费用由乙方承担。</w:t>
      </w:r>
    </w:p>
    <w:p>
      <w:pPr>
        <w:spacing w:line="360" w:lineRule="auto"/>
        <w:ind w:firstLine="480" w:firstLineChars="200"/>
        <w:rPr>
          <w:sz w:val="24"/>
          <w:szCs w:val="24"/>
        </w:rPr>
      </w:pPr>
      <w:r>
        <w:rPr>
          <w:sz w:val="24"/>
          <w:szCs w:val="24"/>
        </w:rPr>
        <w:t>（</w:t>
      </w:r>
      <w:r>
        <w:rPr>
          <w:rFonts w:hint="eastAsia"/>
          <w:sz w:val="24"/>
          <w:szCs w:val="24"/>
        </w:rPr>
        <w:t>四</w:t>
      </w:r>
      <w:r>
        <w:rPr>
          <w:sz w:val="24"/>
          <w:szCs w:val="24"/>
        </w:rPr>
        <w:t>）货物必须具备出厂合格证，乙方保证合同货物是全新、未曾使用过的，其质量、规格及技术特征符合合同附件的要求。</w:t>
      </w:r>
    </w:p>
    <w:p>
      <w:pPr>
        <w:spacing w:line="360" w:lineRule="auto"/>
        <w:ind w:firstLine="480"/>
        <w:rPr>
          <w:sz w:val="24"/>
          <w:szCs w:val="24"/>
        </w:rPr>
      </w:pPr>
      <w:r>
        <w:rPr>
          <w:rFonts w:hint="eastAsia"/>
          <w:sz w:val="24"/>
          <w:szCs w:val="24"/>
        </w:rPr>
        <w:t>（五）货物的样式、外观情况根据甲方及合同要求，材质等符合国家或行业相关标准，且均为合格产品。</w:t>
      </w:r>
      <w:r>
        <w:rPr>
          <w:sz w:val="24"/>
          <w:szCs w:val="24"/>
        </w:rPr>
        <w:t>否则，甲方有权要求乙方立即予以更换或退货。如甲方选择更换的，乙方应在10个日历内更换，并且承担甲方由此产生的费用或损失，逾期</w:t>
      </w:r>
      <w:r>
        <w:rPr>
          <w:rFonts w:hint="eastAsia"/>
          <w:sz w:val="24"/>
          <w:szCs w:val="24"/>
        </w:rPr>
        <w:t>处理的，</w:t>
      </w:r>
      <w:r>
        <w:rPr>
          <w:sz w:val="24"/>
          <w:szCs w:val="24"/>
        </w:rPr>
        <w:t>则</w:t>
      </w:r>
      <w:r>
        <w:rPr>
          <w:rFonts w:hint="eastAsia"/>
          <w:sz w:val="24"/>
          <w:szCs w:val="24"/>
        </w:rPr>
        <w:t>乙方应</w:t>
      </w:r>
      <w:r>
        <w:rPr>
          <w:sz w:val="24"/>
          <w:szCs w:val="24"/>
        </w:rPr>
        <w:t>按照第</w:t>
      </w:r>
      <w:r>
        <w:rPr>
          <w:rFonts w:hint="eastAsia"/>
          <w:sz w:val="24"/>
          <w:szCs w:val="24"/>
        </w:rPr>
        <w:t>六</w:t>
      </w:r>
      <w:r>
        <w:rPr>
          <w:sz w:val="24"/>
          <w:szCs w:val="24"/>
        </w:rPr>
        <w:t>条第（一）款向甲方承担违约责任。如甲方选择退货的，甲方无须向乙方支付任何费用，并有权要求乙方支付合同总金额20%</w:t>
      </w:r>
      <w:r>
        <w:rPr>
          <w:rFonts w:hint="eastAsia"/>
          <w:sz w:val="24"/>
          <w:szCs w:val="24"/>
        </w:rPr>
        <w:t>作为</w:t>
      </w:r>
      <w:r>
        <w:rPr>
          <w:sz w:val="24"/>
          <w:szCs w:val="24"/>
        </w:rPr>
        <w:t>违约金，违约金不足以赔偿因此给甲方造成的损失的，甲方有权另行追偿。</w:t>
      </w:r>
    </w:p>
    <w:p>
      <w:pPr>
        <w:spacing w:line="360" w:lineRule="auto"/>
        <w:ind w:firstLine="480"/>
        <w:rPr>
          <w:sz w:val="24"/>
          <w:szCs w:val="24"/>
        </w:rPr>
      </w:pPr>
      <w:r>
        <w:rPr>
          <w:rFonts w:hint="eastAsia"/>
          <w:sz w:val="24"/>
          <w:szCs w:val="24"/>
        </w:rPr>
        <w:t>（六）本条第（一）至（六）款中乙方应向甲方支付的违约金、损失及其他费用，甲方有权从应支付给乙方的任何款项及履约保证金、质保金中先与扣除。</w:t>
      </w:r>
      <w:r>
        <w:rPr>
          <w:sz w:val="24"/>
          <w:szCs w:val="24"/>
        </w:rPr>
        <w:t>不足</w:t>
      </w:r>
      <w:r>
        <w:rPr>
          <w:rFonts w:hint="eastAsia"/>
          <w:sz w:val="24"/>
          <w:szCs w:val="24"/>
        </w:rPr>
        <w:t>部分</w:t>
      </w:r>
      <w:r>
        <w:rPr>
          <w:sz w:val="24"/>
          <w:szCs w:val="24"/>
        </w:rPr>
        <w:t>，甲方有权另行追偿</w:t>
      </w:r>
      <w:r>
        <w:rPr>
          <w:rFonts w:hint="eastAsia"/>
          <w:sz w:val="24"/>
          <w:szCs w:val="24"/>
        </w:rPr>
        <w:t>。</w:t>
      </w:r>
    </w:p>
    <w:p>
      <w:pPr>
        <w:spacing w:line="360" w:lineRule="auto"/>
        <w:ind w:firstLine="480" w:firstLineChars="200"/>
        <w:rPr>
          <w:sz w:val="24"/>
          <w:szCs w:val="24"/>
        </w:rPr>
      </w:pPr>
      <w:r>
        <w:rPr>
          <w:rFonts w:hint="eastAsia"/>
          <w:sz w:val="24"/>
          <w:szCs w:val="24"/>
        </w:rPr>
        <w:t>（七）质保服务</w:t>
      </w:r>
    </w:p>
    <w:p>
      <w:pPr>
        <w:pStyle w:val="52"/>
        <w:spacing w:before="0" w:beforeAutospacing="0" w:after="0" w:afterAutospacing="0" w:line="360" w:lineRule="auto"/>
        <w:ind w:firstLine="480" w:firstLineChars="200"/>
        <w:jc w:val="both"/>
        <w:rPr>
          <w:rFonts w:ascii="Times New Roman" w:hAnsi="Times New Roman" w:cs="Times New Roman"/>
        </w:rPr>
      </w:pPr>
      <w:r>
        <w:rPr>
          <w:rFonts w:hint="default" w:ascii="Times New Roman" w:hAnsi="Times New Roman" w:cs="Times New Roman"/>
        </w:rPr>
        <w:t>1、质量保证期：所有设备质保期为一年，自双方代表在仪器安装调试验收合格报告或证明上签字之日起计算，如质保期约定出现冲突时，以时间长的质保期为最终约定。所有设备的包换和包修服务遵从国家三包规定，并提供终身跟踪服务。</w:t>
      </w:r>
    </w:p>
    <w:p>
      <w:pPr>
        <w:pStyle w:val="52"/>
        <w:spacing w:before="0" w:beforeAutospacing="0" w:after="0" w:afterAutospacing="0" w:line="360" w:lineRule="auto"/>
        <w:ind w:firstLine="480" w:firstLineChars="200"/>
        <w:jc w:val="both"/>
        <w:rPr>
          <w:rFonts w:ascii="Times New Roman" w:hAnsi="Times New Roman" w:cs="Times New Roman"/>
        </w:rPr>
      </w:pPr>
      <w:r>
        <w:rPr>
          <w:rFonts w:hint="default" w:ascii="Times New Roman" w:hAnsi="Times New Roman" w:cs="Times New Roman"/>
        </w:rPr>
        <w:t>2、质保期内，乙方应负责设备运行的稳定性。负责免费更换故障部件。若乙方提供的货物在功能上和性能上达不到设计要求的，甲方有权要求乙方进行及时完善或更换。</w:t>
      </w:r>
    </w:p>
    <w:p>
      <w:pPr>
        <w:pStyle w:val="52"/>
        <w:spacing w:before="0" w:beforeAutospacing="0" w:after="0" w:afterAutospacing="0" w:line="360" w:lineRule="auto"/>
        <w:ind w:firstLine="480" w:firstLineChars="200"/>
        <w:jc w:val="both"/>
        <w:rPr>
          <w:rFonts w:ascii="Times New Roman" w:hAnsi="Times New Roman" w:cs="Times New Roman"/>
        </w:rPr>
      </w:pPr>
      <w:r>
        <w:rPr>
          <w:rFonts w:hint="default" w:ascii="Times New Roman" w:hAnsi="Times New Roman" w:cs="Times New Roman"/>
        </w:rPr>
        <w:t>3、质保期内甲方所购设备各部件发生非人为故障，乙方应免费上门更换同种品牌规格型号的新部件，设备发生人为故障的，乙方应上门更换同种品牌规格型号的新部件，只收零配件成本，不加收其它任何费用。</w:t>
      </w:r>
    </w:p>
    <w:p>
      <w:pPr>
        <w:pStyle w:val="52"/>
        <w:spacing w:before="0" w:beforeAutospacing="0" w:after="0" w:afterAutospacing="0" w:line="360" w:lineRule="auto"/>
        <w:ind w:firstLine="480" w:firstLineChars="200"/>
        <w:jc w:val="both"/>
        <w:rPr>
          <w:rFonts w:ascii="Times New Roman" w:hAnsi="Times New Roman" w:cs="Times New Roman"/>
          <w:color w:val="000000"/>
        </w:rPr>
      </w:pPr>
      <w:r>
        <w:rPr>
          <w:rFonts w:ascii="Times New Roman" w:hAnsi="Times New Roman" w:cs="Times New Roman"/>
          <w:color w:val="000000"/>
        </w:rPr>
        <w:t>（</w:t>
      </w:r>
      <w:r>
        <w:rPr>
          <w:rFonts w:hint="default" w:ascii="Times New Roman" w:hAnsi="Times New Roman" w:cs="Times New Roman"/>
          <w:color w:val="000000"/>
        </w:rPr>
        <w:t>八）售后服务</w:t>
      </w:r>
    </w:p>
    <w:p>
      <w:pPr>
        <w:pStyle w:val="52"/>
        <w:spacing w:before="0" w:beforeAutospacing="0" w:after="0" w:afterAutospacing="0" w:line="360" w:lineRule="auto"/>
        <w:ind w:firstLine="480" w:firstLineChars="200"/>
        <w:jc w:val="both"/>
        <w:rPr>
          <w:rFonts w:ascii="Times New Roman" w:hAnsi="Times New Roman" w:cs="Times New Roman"/>
          <w:color w:val="000000"/>
        </w:rPr>
      </w:pPr>
      <w:r>
        <w:rPr>
          <w:rFonts w:hint="default" w:ascii="Times New Roman" w:hAnsi="Times New Roman" w:cs="Times New Roman"/>
          <w:color w:val="000000"/>
        </w:rPr>
        <w:t>1、乙方需拥有稳定的售后服务体系，能提供良好的售后服务，在保修期内，乙方须提供可随时上门进行维修及检测服务的工程师。</w:t>
      </w:r>
    </w:p>
    <w:p>
      <w:pPr>
        <w:pStyle w:val="52"/>
        <w:spacing w:before="0" w:beforeAutospacing="0" w:after="0" w:afterAutospacing="0" w:line="360" w:lineRule="auto"/>
        <w:ind w:firstLine="480" w:firstLineChars="200"/>
        <w:jc w:val="both"/>
        <w:rPr>
          <w:rFonts w:ascii="Times New Roman" w:hAnsi="Times New Roman" w:cs="Times New Roman"/>
          <w:color w:val="000000"/>
        </w:rPr>
      </w:pPr>
      <w:r>
        <w:rPr>
          <w:rFonts w:hint="default" w:ascii="Times New Roman" w:hAnsi="Times New Roman" w:cs="Times New Roman"/>
          <w:color w:val="000000"/>
        </w:rPr>
        <w:t>2、提供货物免费安装、调试、培训使用；24小时免费提供技术支持；永久性免费提供电话技术指导和咨询服务；提供长期上门维修服务，免费对产品软件进行升级（如有）；定期进行设备免费检查（人为因素、自然因素（如火灾、雷击等）造成的故障除外）。</w:t>
      </w:r>
    </w:p>
    <w:p>
      <w:pPr>
        <w:pStyle w:val="52"/>
        <w:spacing w:before="0" w:beforeAutospacing="0" w:after="0" w:afterAutospacing="0" w:line="360" w:lineRule="auto"/>
        <w:ind w:firstLine="480" w:firstLineChars="200"/>
        <w:jc w:val="both"/>
        <w:rPr>
          <w:rFonts w:hint="default" w:ascii="Times New Roman" w:hAnsi="Times New Roman" w:cs="Times New Roman"/>
          <w:color w:val="000000"/>
        </w:rPr>
      </w:pPr>
      <w:r>
        <w:rPr>
          <w:rFonts w:hint="default" w:ascii="Times New Roman" w:hAnsi="Times New Roman" w:cs="Times New Roman"/>
          <w:color w:val="000000"/>
        </w:rPr>
        <w:t>3、设备有故障通知乙方，乙方须在60分钟内响应、48小时内到达现场，如设备故障检修当天内无法排除故障，须在三天内提供不低于故障设备规格、型号、性能的备用设备替代故障设备，或无偿提供代检测服务，直至故障设备修复。</w:t>
      </w:r>
    </w:p>
    <w:p>
      <w:pPr>
        <w:pStyle w:val="52"/>
        <w:spacing w:before="0" w:beforeAutospacing="0" w:after="0" w:afterAutospacing="0" w:line="360" w:lineRule="auto"/>
        <w:ind w:firstLine="480" w:firstLineChars="200"/>
        <w:jc w:val="both"/>
        <w:rPr>
          <w:rFonts w:hint="default" w:ascii="Times New Roman" w:hAnsi="Times New Roman" w:cs="Times New Roman"/>
          <w:color w:val="000000"/>
        </w:rPr>
      </w:pPr>
      <w:r>
        <w:rPr>
          <w:rFonts w:hint="default" w:ascii="Times New Roman" w:hAnsi="Times New Roman" w:cs="Times New Roman"/>
          <w:color w:val="000000"/>
        </w:rPr>
        <w:t>4、培训:免费提供产品的安装，调试及使用培训服务，确保采购人使用人员能够对本次采购产品有足够的了解，能够独立进行日常操作、管理和维护，培训人数不限，进口仪器现场培训时间不低于3天，外出免费培训名额不少于2个（每台大型仪器）。仪器设备验收后1年内至少1 次到采购人处进行免费维护、保养；对需要软件升级的，应免费提供升级。</w:t>
      </w:r>
    </w:p>
    <w:p>
      <w:pPr>
        <w:pStyle w:val="52"/>
        <w:spacing w:before="0" w:beforeAutospacing="0" w:after="0" w:afterAutospacing="0" w:line="360" w:lineRule="auto"/>
        <w:ind w:firstLine="480" w:firstLineChars="200"/>
        <w:jc w:val="both"/>
        <w:rPr>
          <w:rFonts w:ascii="Times New Roman" w:hAnsi="Times New Roman" w:cs="Times New Roman"/>
        </w:rPr>
      </w:pPr>
      <w:r>
        <w:rPr>
          <w:rFonts w:hint="default" w:ascii="Times New Roman" w:hAnsi="Times New Roman" w:cs="Times New Roman"/>
          <w:color w:val="000000"/>
        </w:rPr>
        <w:t>5、乙方应按照本合同附件</w:t>
      </w:r>
      <w:r>
        <w:rPr>
          <w:rFonts w:ascii="Times New Roman" w:hAnsi="Times New Roman" w:cs="Times New Roman"/>
          <w:color w:val="000000"/>
        </w:rPr>
        <w:t>《</w:t>
      </w:r>
      <w:r>
        <w:rPr>
          <w:rFonts w:hint="default" w:ascii="Times New Roman" w:hAnsi="Times New Roman" w:cs="Times New Roman"/>
          <w:color w:val="000000"/>
        </w:rPr>
        <w:t>技术规格书》相关约定提供售后服务。</w:t>
      </w:r>
    </w:p>
    <w:p>
      <w:pPr>
        <w:spacing w:line="360" w:lineRule="auto"/>
        <w:rPr>
          <w:b/>
          <w:sz w:val="24"/>
          <w:szCs w:val="24"/>
        </w:rPr>
      </w:pPr>
      <w:r>
        <w:rPr>
          <w:b/>
          <w:sz w:val="24"/>
          <w:szCs w:val="24"/>
        </w:rPr>
        <w:t>五、双方义务</w:t>
      </w:r>
    </w:p>
    <w:p>
      <w:pPr>
        <w:spacing w:line="360" w:lineRule="auto"/>
        <w:ind w:firstLine="480" w:firstLineChars="200"/>
        <w:rPr>
          <w:sz w:val="24"/>
          <w:szCs w:val="24"/>
        </w:rPr>
      </w:pPr>
      <w:r>
        <w:rPr>
          <w:sz w:val="24"/>
          <w:szCs w:val="24"/>
        </w:rPr>
        <w:t>(一) 甲方义务</w:t>
      </w:r>
    </w:p>
    <w:p>
      <w:pPr>
        <w:spacing w:line="360" w:lineRule="auto"/>
        <w:ind w:firstLine="480" w:firstLineChars="200"/>
        <w:rPr>
          <w:sz w:val="24"/>
          <w:szCs w:val="24"/>
        </w:rPr>
      </w:pPr>
      <w:r>
        <w:rPr>
          <w:sz w:val="24"/>
          <w:szCs w:val="24"/>
        </w:rPr>
        <w:t>1、负责按合同规定日期向乙方支付合同款；</w:t>
      </w:r>
    </w:p>
    <w:p>
      <w:pPr>
        <w:spacing w:line="360" w:lineRule="auto"/>
        <w:ind w:firstLine="480" w:firstLineChars="200"/>
        <w:rPr>
          <w:sz w:val="24"/>
          <w:szCs w:val="24"/>
        </w:rPr>
      </w:pPr>
      <w:r>
        <w:rPr>
          <w:sz w:val="24"/>
          <w:szCs w:val="24"/>
        </w:rPr>
        <w:t>2、负责向乙方</w:t>
      </w:r>
      <w:r>
        <w:rPr>
          <w:rFonts w:hint="eastAsia"/>
          <w:sz w:val="24"/>
          <w:szCs w:val="24"/>
        </w:rPr>
        <w:t>验收并</w:t>
      </w:r>
      <w:r>
        <w:rPr>
          <w:sz w:val="24"/>
          <w:szCs w:val="24"/>
        </w:rPr>
        <w:t>确认货物</w:t>
      </w:r>
      <w:r>
        <w:rPr>
          <w:rFonts w:hint="eastAsia"/>
          <w:sz w:val="24"/>
          <w:szCs w:val="24"/>
        </w:rPr>
        <w:t>的</w:t>
      </w:r>
      <w:r>
        <w:rPr>
          <w:sz w:val="24"/>
          <w:szCs w:val="24"/>
        </w:rPr>
        <w:t>有关规格、产品款式、质量</w:t>
      </w:r>
      <w:r>
        <w:rPr>
          <w:rFonts w:hint="eastAsia"/>
          <w:sz w:val="24"/>
          <w:szCs w:val="24"/>
        </w:rPr>
        <w:t>、安装</w:t>
      </w:r>
      <w:r>
        <w:rPr>
          <w:sz w:val="24"/>
          <w:szCs w:val="24"/>
        </w:rPr>
        <w:t>等；</w:t>
      </w:r>
    </w:p>
    <w:p>
      <w:pPr>
        <w:spacing w:line="360" w:lineRule="auto"/>
        <w:ind w:right="210" w:rightChars="100" w:firstLine="480" w:firstLineChars="200"/>
        <w:rPr>
          <w:sz w:val="24"/>
          <w:szCs w:val="24"/>
        </w:rPr>
      </w:pPr>
      <w:r>
        <w:rPr>
          <w:sz w:val="24"/>
          <w:szCs w:val="24"/>
        </w:rPr>
        <w:t>3、对乙方需要确认的内容，甲方应</w:t>
      </w:r>
      <w:r>
        <w:rPr>
          <w:rFonts w:hint="eastAsia"/>
          <w:sz w:val="24"/>
          <w:szCs w:val="24"/>
        </w:rPr>
        <w:t>尽快</w:t>
      </w:r>
      <w:r>
        <w:rPr>
          <w:sz w:val="24"/>
          <w:szCs w:val="24"/>
        </w:rPr>
        <w:t>给以</w:t>
      </w:r>
      <w:r>
        <w:rPr>
          <w:rFonts w:hint="eastAsia"/>
          <w:sz w:val="24"/>
          <w:szCs w:val="24"/>
        </w:rPr>
        <w:t>答复</w:t>
      </w:r>
      <w:r>
        <w:rPr>
          <w:sz w:val="24"/>
          <w:szCs w:val="24"/>
        </w:rPr>
        <w:t>或提出修改意见。</w:t>
      </w:r>
    </w:p>
    <w:p>
      <w:pPr>
        <w:spacing w:line="360" w:lineRule="auto"/>
        <w:ind w:right="210" w:rightChars="100" w:firstLine="480" w:firstLineChars="200"/>
        <w:rPr>
          <w:sz w:val="24"/>
          <w:szCs w:val="24"/>
        </w:rPr>
      </w:pPr>
      <w:r>
        <w:rPr>
          <w:sz w:val="24"/>
          <w:szCs w:val="24"/>
        </w:rPr>
        <w:t>(二) 乙方义务</w:t>
      </w:r>
    </w:p>
    <w:p>
      <w:pPr>
        <w:spacing w:line="360" w:lineRule="auto"/>
        <w:ind w:right="210" w:rightChars="100" w:firstLine="480" w:firstLineChars="200"/>
        <w:rPr>
          <w:sz w:val="24"/>
          <w:szCs w:val="24"/>
        </w:rPr>
      </w:pPr>
      <w:r>
        <w:rPr>
          <w:sz w:val="24"/>
          <w:szCs w:val="24"/>
        </w:rPr>
        <w:t>1、</w:t>
      </w:r>
      <w:r>
        <w:rPr>
          <w:rFonts w:hint="eastAsia"/>
          <w:sz w:val="24"/>
          <w:szCs w:val="24"/>
        </w:rPr>
        <w:t>乙方按本合同的约定</w:t>
      </w:r>
      <w:r>
        <w:rPr>
          <w:sz w:val="24"/>
          <w:szCs w:val="24"/>
        </w:rPr>
        <w:t>时间及标准进行供货、</w:t>
      </w:r>
      <w:r>
        <w:rPr>
          <w:rFonts w:hint="eastAsia"/>
          <w:sz w:val="24"/>
          <w:szCs w:val="24"/>
        </w:rPr>
        <w:t>安装</w:t>
      </w:r>
      <w:r>
        <w:rPr>
          <w:sz w:val="24"/>
          <w:szCs w:val="24"/>
        </w:rPr>
        <w:t>及调试、保修</w:t>
      </w:r>
      <w:r>
        <w:rPr>
          <w:rFonts w:hint="eastAsia"/>
          <w:sz w:val="24"/>
          <w:szCs w:val="24"/>
        </w:rPr>
        <w:t>及技术服务等；</w:t>
      </w:r>
    </w:p>
    <w:p>
      <w:pPr>
        <w:spacing w:line="360" w:lineRule="auto"/>
        <w:ind w:right="210" w:rightChars="100" w:firstLine="480" w:firstLineChars="200"/>
        <w:rPr>
          <w:sz w:val="24"/>
          <w:szCs w:val="24"/>
        </w:rPr>
      </w:pPr>
      <w:r>
        <w:rPr>
          <w:sz w:val="24"/>
          <w:szCs w:val="24"/>
        </w:rPr>
        <w:t>2、货物应满足甲方需求</w:t>
      </w:r>
      <w:r>
        <w:rPr>
          <w:rFonts w:hint="eastAsia"/>
          <w:sz w:val="24"/>
          <w:szCs w:val="24"/>
        </w:rPr>
        <w:t>及本合同的约定</w:t>
      </w:r>
      <w:r>
        <w:rPr>
          <w:sz w:val="24"/>
          <w:szCs w:val="24"/>
        </w:rPr>
        <w:t>；</w:t>
      </w:r>
    </w:p>
    <w:p>
      <w:pPr>
        <w:spacing w:line="360" w:lineRule="auto"/>
        <w:ind w:right="210" w:rightChars="100" w:firstLine="480" w:firstLineChars="200"/>
        <w:rPr>
          <w:sz w:val="24"/>
          <w:szCs w:val="24"/>
        </w:rPr>
      </w:pPr>
      <w:r>
        <w:rPr>
          <w:rFonts w:hint="eastAsia"/>
          <w:sz w:val="24"/>
          <w:szCs w:val="24"/>
        </w:rPr>
        <w:t>3、乙方应按照本合同及附件的要求向甲方提供培训。</w:t>
      </w:r>
    </w:p>
    <w:p>
      <w:pPr>
        <w:spacing w:line="360" w:lineRule="auto"/>
        <w:ind w:right="210" w:rightChars="100" w:firstLine="482" w:firstLineChars="200"/>
        <w:rPr>
          <w:b/>
          <w:sz w:val="24"/>
          <w:szCs w:val="24"/>
        </w:rPr>
      </w:pPr>
      <w:r>
        <w:rPr>
          <w:b/>
          <w:sz w:val="24"/>
          <w:szCs w:val="24"/>
        </w:rPr>
        <w:t>六、违约责任</w:t>
      </w:r>
    </w:p>
    <w:p>
      <w:pPr>
        <w:spacing w:line="360" w:lineRule="auto"/>
        <w:ind w:right="210" w:rightChars="100" w:firstLine="480" w:firstLineChars="200"/>
        <w:rPr>
          <w:sz w:val="24"/>
          <w:szCs w:val="24"/>
        </w:rPr>
      </w:pPr>
      <w:r>
        <w:rPr>
          <w:sz w:val="24"/>
          <w:szCs w:val="24"/>
        </w:rPr>
        <w:t>（一）乙方未按合同约定交期按时交货</w:t>
      </w:r>
      <w:r>
        <w:rPr>
          <w:rFonts w:hint="eastAsia"/>
          <w:sz w:val="24"/>
          <w:szCs w:val="24"/>
        </w:rPr>
        <w:t>、换货、退货、安装或交付相关的技术资料的，又或者乙方未按照本合同及询、报价文件（含附件）中约定的时限提供培训、售后及其他服务的</w:t>
      </w:r>
      <w:r>
        <w:rPr>
          <w:sz w:val="24"/>
          <w:szCs w:val="24"/>
        </w:rPr>
        <w:t>，每逾期一天则应向甲方支付</w:t>
      </w:r>
      <w:r>
        <w:rPr>
          <w:rFonts w:hint="eastAsia"/>
          <w:sz w:val="24"/>
          <w:szCs w:val="24"/>
        </w:rPr>
        <w:t>本合同总金额</w:t>
      </w:r>
      <w:r>
        <w:rPr>
          <w:sz w:val="24"/>
          <w:szCs w:val="24"/>
        </w:rPr>
        <w:t>的</w:t>
      </w:r>
      <w:r>
        <w:rPr>
          <w:rFonts w:hint="eastAsia"/>
          <w:sz w:val="24"/>
          <w:szCs w:val="24"/>
        </w:rPr>
        <w:t>0.3%</w:t>
      </w:r>
      <w:r>
        <w:rPr>
          <w:sz w:val="24"/>
          <w:szCs w:val="24"/>
        </w:rPr>
        <w:t>作为违约金，逾期达20个日历</w:t>
      </w:r>
      <w:r>
        <w:rPr>
          <w:rFonts w:hint="eastAsia"/>
          <w:sz w:val="24"/>
          <w:szCs w:val="24"/>
        </w:rPr>
        <w:t>日</w:t>
      </w:r>
      <w:r>
        <w:rPr>
          <w:sz w:val="24"/>
          <w:szCs w:val="24"/>
        </w:rPr>
        <w:t>的，甲方有权单方解除合同</w:t>
      </w:r>
      <w:r>
        <w:rPr>
          <w:rFonts w:hint="eastAsia"/>
          <w:sz w:val="24"/>
          <w:szCs w:val="24"/>
        </w:rPr>
        <w:t>，没收全部履约保证金（如未退还）</w:t>
      </w:r>
      <w:r>
        <w:rPr>
          <w:sz w:val="24"/>
          <w:szCs w:val="24"/>
        </w:rPr>
        <w:t>。乙方应退还已支付的货款，并另行支付</w:t>
      </w:r>
      <w:r>
        <w:rPr>
          <w:rFonts w:hint="eastAsia"/>
          <w:sz w:val="24"/>
          <w:szCs w:val="24"/>
        </w:rPr>
        <w:t>合同总价的</w:t>
      </w:r>
      <w:r>
        <w:rPr>
          <w:sz w:val="24"/>
          <w:szCs w:val="24"/>
        </w:rPr>
        <w:t>20%</w:t>
      </w:r>
      <w:r>
        <w:rPr>
          <w:rFonts w:hint="eastAsia"/>
          <w:sz w:val="24"/>
          <w:szCs w:val="24"/>
        </w:rPr>
        <w:t>作为</w:t>
      </w:r>
      <w:r>
        <w:rPr>
          <w:sz w:val="24"/>
          <w:szCs w:val="24"/>
        </w:rPr>
        <w:t>违约金，违约金不足以</w:t>
      </w:r>
      <w:r>
        <w:rPr>
          <w:rFonts w:hint="eastAsia"/>
          <w:sz w:val="24"/>
          <w:szCs w:val="24"/>
        </w:rPr>
        <w:t>赔偿因此</w:t>
      </w:r>
      <w:r>
        <w:rPr>
          <w:sz w:val="24"/>
          <w:szCs w:val="24"/>
        </w:rPr>
        <w:t>给甲方</w:t>
      </w:r>
      <w:r>
        <w:rPr>
          <w:rFonts w:hint="eastAsia"/>
          <w:sz w:val="24"/>
          <w:szCs w:val="24"/>
        </w:rPr>
        <w:t>造成</w:t>
      </w:r>
      <w:r>
        <w:rPr>
          <w:sz w:val="24"/>
          <w:szCs w:val="24"/>
        </w:rPr>
        <w:t>的</w:t>
      </w:r>
      <w:r>
        <w:rPr>
          <w:rFonts w:hint="eastAsia"/>
          <w:sz w:val="24"/>
          <w:szCs w:val="24"/>
        </w:rPr>
        <w:t>全部损失</w:t>
      </w:r>
      <w:r>
        <w:rPr>
          <w:sz w:val="24"/>
          <w:szCs w:val="24"/>
        </w:rPr>
        <w:t>的，甲方有权另行追偿。</w:t>
      </w:r>
    </w:p>
    <w:p>
      <w:pPr>
        <w:spacing w:line="360" w:lineRule="auto"/>
        <w:ind w:right="210" w:rightChars="100" w:firstLine="480" w:firstLineChars="200"/>
        <w:rPr>
          <w:rFonts w:hint="eastAsia"/>
          <w:sz w:val="24"/>
          <w:szCs w:val="24"/>
        </w:rPr>
      </w:pPr>
      <w:r>
        <w:rPr>
          <w:rFonts w:hint="eastAsia"/>
          <w:sz w:val="24"/>
          <w:szCs w:val="24"/>
        </w:rPr>
        <w:t>（二）乙方原因无故解除合同，甲方有权没收乙方全部履约保证金，因此给甲方造成的全部损失的，甲方有权另行追偿。</w:t>
      </w:r>
    </w:p>
    <w:p>
      <w:pPr>
        <w:spacing w:line="360" w:lineRule="auto"/>
        <w:ind w:right="210" w:rightChars="100" w:firstLine="480" w:firstLineChars="200"/>
        <w:rPr>
          <w:sz w:val="24"/>
          <w:szCs w:val="24"/>
        </w:rPr>
      </w:pPr>
      <w:r>
        <w:rPr>
          <w:sz w:val="24"/>
          <w:szCs w:val="24"/>
        </w:rPr>
        <w:t>（</w:t>
      </w:r>
      <w:r>
        <w:rPr>
          <w:rFonts w:hint="eastAsia"/>
          <w:sz w:val="24"/>
          <w:szCs w:val="24"/>
        </w:rPr>
        <w:t>三</w:t>
      </w:r>
      <w:r>
        <w:rPr>
          <w:sz w:val="24"/>
          <w:szCs w:val="24"/>
        </w:rPr>
        <w:t>）因一方或双方遇不可抗力不能继续履行合同时，双方互免承担违约责任，可在结清已发生费用后，解除合同。</w:t>
      </w:r>
    </w:p>
    <w:p>
      <w:pPr>
        <w:spacing w:line="360" w:lineRule="auto"/>
        <w:ind w:right="210" w:rightChars="100" w:firstLine="480" w:firstLineChars="200"/>
        <w:rPr>
          <w:rFonts w:hint="eastAsia" w:ascii="Times New Roman" w:hAnsi="Times New Roman" w:eastAsia="宋体"/>
          <w:sz w:val="24"/>
          <w:szCs w:val="24"/>
        </w:rPr>
      </w:pPr>
      <w:r>
        <w:rPr>
          <w:rFonts w:hint="eastAsia"/>
          <w:sz w:val="24"/>
          <w:szCs w:val="24"/>
        </w:rPr>
        <w:t>（四）</w:t>
      </w:r>
      <w:r>
        <w:rPr>
          <w:rFonts w:hint="eastAsia" w:ascii="Times New Roman" w:hAnsi="Times New Roman" w:eastAsia="宋体"/>
          <w:sz w:val="24"/>
          <w:szCs w:val="24"/>
        </w:rPr>
        <w:t>乙方不得侵犯第三方知识产权。一旦发生侵权行为，乙方承担全部法律责任和所有的经济赔偿责任，并承担由于乙方侵权无法继续执行本合约而对业主方造成的经济赔偿责任等。</w:t>
      </w:r>
    </w:p>
    <w:p>
      <w:pPr>
        <w:spacing w:line="360" w:lineRule="auto"/>
        <w:ind w:right="210" w:rightChars="100" w:firstLine="482" w:firstLineChars="200"/>
        <w:rPr>
          <w:b/>
          <w:bCs/>
          <w:sz w:val="24"/>
          <w:szCs w:val="24"/>
        </w:rPr>
      </w:pPr>
      <w:r>
        <w:rPr>
          <w:b/>
          <w:bCs/>
          <w:sz w:val="24"/>
          <w:szCs w:val="24"/>
        </w:rPr>
        <w:t>七、不可抗力</w:t>
      </w:r>
    </w:p>
    <w:p>
      <w:pPr>
        <w:spacing w:line="360" w:lineRule="auto"/>
        <w:ind w:right="210" w:rightChars="100" w:firstLine="480" w:firstLineChars="200"/>
        <w:rPr>
          <w:sz w:val="24"/>
          <w:szCs w:val="24"/>
        </w:rPr>
      </w:pPr>
      <w:r>
        <w:rPr>
          <w:sz w:val="24"/>
          <w:szCs w:val="24"/>
        </w:rPr>
        <w:t>（一）不可抗力指战争、严重火灾、洪水、台风、地震等或其它双方</w:t>
      </w:r>
      <w:r>
        <w:rPr>
          <w:rFonts w:hint="eastAsia"/>
          <w:sz w:val="24"/>
          <w:szCs w:val="24"/>
        </w:rPr>
        <w:t>一致</w:t>
      </w:r>
      <w:r>
        <w:rPr>
          <w:sz w:val="24"/>
          <w:szCs w:val="24"/>
        </w:rPr>
        <w:t>认定的不可抗力事件。</w:t>
      </w:r>
    </w:p>
    <w:p>
      <w:pPr>
        <w:spacing w:line="360" w:lineRule="auto"/>
        <w:ind w:right="210" w:rightChars="100" w:firstLine="480" w:firstLineChars="200"/>
        <w:rPr>
          <w:sz w:val="24"/>
          <w:szCs w:val="24"/>
        </w:rPr>
      </w:pPr>
      <w:r>
        <w:rPr>
          <w:sz w:val="24"/>
          <w:szCs w:val="24"/>
        </w:rPr>
        <w:t>（二）签约双方中任何一方由于不可抗力影响合同执行时，发生不可抗力一方应尽快将事故通知另一方。在此情况下，乙方仍然有责任采取必要的措施加速供货，双方应通过友好协商尽快解决本合同的执行问题。</w:t>
      </w:r>
    </w:p>
    <w:p>
      <w:pPr>
        <w:spacing w:line="360" w:lineRule="auto"/>
        <w:ind w:firstLine="482" w:firstLineChars="200"/>
        <w:rPr>
          <w:b/>
          <w:sz w:val="24"/>
          <w:szCs w:val="24"/>
        </w:rPr>
      </w:pPr>
      <w:r>
        <w:rPr>
          <w:b/>
          <w:sz w:val="24"/>
          <w:szCs w:val="24"/>
        </w:rPr>
        <w:t>八、争议的解决</w:t>
      </w:r>
    </w:p>
    <w:p>
      <w:pPr>
        <w:spacing w:line="360" w:lineRule="auto"/>
        <w:ind w:firstLine="480" w:firstLineChars="200"/>
        <w:rPr>
          <w:sz w:val="24"/>
          <w:szCs w:val="24"/>
        </w:rPr>
      </w:pPr>
      <w:r>
        <w:rPr>
          <w:sz w:val="24"/>
          <w:szCs w:val="24"/>
        </w:rPr>
        <w:t>因履行本合同发生的任何争议，双方本着友好互利的原则协商解决。协商不成时应向</w:t>
      </w:r>
      <w:r>
        <w:rPr>
          <w:rFonts w:hint="eastAsia"/>
          <w:sz w:val="24"/>
          <w:szCs w:val="24"/>
        </w:rPr>
        <w:t>甲方所在地有管辖权的人民法院起诉</w:t>
      </w:r>
      <w:r>
        <w:rPr>
          <w:sz w:val="24"/>
          <w:szCs w:val="24"/>
        </w:rPr>
        <w:t>。</w:t>
      </w:r>
      <w:r>
        <w:rPr>
          <w:rFonts w:hint="eastAsia"/>
          <w:sz w:val="24"/>
          <w:szCs w:val="24"/>
        </w:rPr>
        <w:t>除有争议的部分外，双方应继续履行本合同所约定的义务。</w:t>
      </w:r>
    </w:p>
    <w:p>
      <w:pPr>
        <w:spacing w:line="360" w:lineRule="auto"/>
        <w:ind w:firstLine="482" w:firstLineChars="200"/>
        <w:rPr>
          <w:b/>
          <w:sz w:val="24"/>
          <w:szCs w:val="24"/>
        </w:rPr>
      </w:pPr>
      <w:r>
        <w:rPr>
          <w:rFonts w:hint="eastAsia"/>
          <w:b/>
          <w:sz w:val="24"/>
          <w:szCs w:val="24"/>
        </w:rPr>
        <w:t>九、通知与送达</w:t>
      </w:r>
    </w:p>
    <w:p>
      <w:pPr>
        <w:spacing w:line="360" w:lineRule="auto"/>
        <w:ind w:firstLine="480" w:firstLineChars="200"/>
        <w:rPr>
          <w:sz w:val="24"/>
          <w:szCs w:val="24"/>
        </w:rPr>
      </w:pPr>
      <w:r>
        <w:rPr>
          <w:rFonts w:hint="eastAsia"/>
          <w:sz w:val="24"/>
          <w:szCs w:val="24"/>
        </w:rPr>
        <w:t>凡本合同履行过程中的通知、文件、法律文书等，均以下述方式作为甲乙双方确认之有效送达方式。如任一方变更，须提前书面通知对方，否则，由此导致的相关通知、文件、法律文书等退件、拒收、无法送达等情形均视为送达成功。且如采用邮寄方式送达，自发出之日起三日后即视为成功送达，如采用电子方式送达的，自相关信息发出之日即视为成功送达。</w:t>
      </w:r>
    </w:p>
    <w:p>
      <w:pPr>
        <w:spacing w:line="360" w:lineRule="auto"/>
        <w:ind w:firstLine="480" w:firstLineChars="200"/>
        <w:rPr>
          <w:sz w:val="24"/>
          <w:szCs w:val="24"/>
        </w:rPr>
      </w:pPr>
      <w:r>
        <w:rPr>
          <w:rFonts w:hint="eastAsia"/>
          <w:sz w:val="24"/>
          <w:szCs w:val="24"/>
        </w:rPr>
        <w:t>甲方：邮寄送达地址：               ，收件人：      ，联系电话：              ；指定联系人（姓名：     ，职务：     ）的电子送达地址：微信号：          ，邮箱：          。</w:t>
      </w:r>
    </w:p>
    <w:p>
      <w:pPr>
        <w:spacing w:line="360" w:lineRule="auto"/>
        <w:ind w:firstLine="480" w:firstLineChars="200"/>
        <w:rPr>
          <w:sz w:val="24"/>
          <w:szCs w:val="24"/>
        </w:rPr>
      </w:pPr>
      <w:r>
        <w:rPr>
          <w:rFonts w:hint="eastAsia"/>
          <w:sz w:val="24"/>
          <w:szCs w:val="24"/>
        </w:rPr>
        <w:t>乙方：邮寄送达地址：               ，收件人：      ，联系电话：              ；指定联系人（姓名：     ，职务：     ）的电子送达地址：微信号：          ，邮箱：          。</w:t>
      </w:r>
    </w:p>
    <w:p>
      <w:pPr>
        <w:spacing w:line="360" w:lineRule="auto"/>
        <w:ind w:firstLine="482" w:firstLineChars="200"/>
        <w:rPr>
          <w:b/>
          <w:sz w:val="24"/>
          <w:szCs w:val="24"/>
        </w:rPr>
      </w:pPr>
      <w:r>
        <w:rPr>
          <w:rFonts w:hint="eastAsia"/>
          <w:b/>
          <w:sz w:val="24"/>
          <w:szCs w:val="24"/>
        </w:rPr>
        <w:t>十</w:t>
      </w:r>
      <w:r>
        <w:rPr>
          <w:b/>
          <w:sz w:val="24"/>
          <w:szCs w:val="24"/>
        </w:rPr>
        <w:t>、其它约定</w:t>
      </w:r>
    </w:p>
    <w:p>
      <w:pPr>
        <w:spacing w:line="360" w:lineRule="auto"/>
        <w:ind w:firstLine="480" w:firstLineChars="200"/>
        <w:rPr>
          <w:sz w:val="24"/>
          <w:szCs w:val="24"/>
        </w:rPr>
      </w:pPr>
      <w:r>
        <w:rPr>
          <w:sz w:val="24"/>
          <w:szCs w:val="24"/>
        </w:rPr>
        <w:t>（一）本合同任何内容的修改，须由</w:t>
      </w:r>
      <w:r>
        <w:rPr>
          <w:rFonts w:hint="eastAsia"/>
          <w:sz w:val="24"/>
          <w:szCs w:val="24"/>
        </w:rPr>
        <w:t>双</w:t>
      </w:r>
      <w:r>
        <w:rPr>
          <w:sz w:val="24"/>
          <w:szCs w:val="24"/>
        </w:rPr>
        <w:t>方进行协商，并另行签订补充协议或书面文件，所签订的补充协议或相关合同附件均为本合同不可分割部分，与本合同具有同等法律效力。任何一方自行更改或解除合同的，按违约处理</w:t>
      </w:r>
      <w:r>
        <w:rPr>
          <w:rFonts w:hint="eastAsia"/>
          <w:sz w:val="24"/>
          <w:szCs w:val="24"/>
        </w:rPr>
        <w:t>；</w:t>
      </w:r>
      <w:r>
        <w:rPr>
          <w:sz w:val="24"/>
          <w:szCs w:val="24"/>
        </w:rPr>
        <w:t>合同中未尽事项，由双方协商另行签订补充协议。</w:t>
      </w:r>
    </w:p>
    <w:p>
      <w:pPr>
        <w:spacing w:line="360" w:lineRule="auto"/>
        <w:ind w:firstLine="480" w:firstLineChars="200"/>
        <w:rPr>
          <w:sz w:val="24"/>
          <w:szCs w:val="24"/>
        </w:rPr>
      </w:pPr>
      <w:r>
        <w:rPr>
          <w:sz w:val="24"/>
          <w:szCs w:val="24"/>
        </w:rPr>
        <w:t>（二）任何一方未经另一方的书面同意，均不得将本合同的权利、义务、利益转移给第三方。</w:t>
      </w:r>
    </w:p>
    <w:p>
      <w:pPr>
        <w:spacing w:line="360" w:lineRule="auto"/>
        <w:ind w:firstLine="480" w:firstLineChars="200"/>
        <w:rPr>
          <w:sz w:val="24"/>
          <w:szCs w:val="24"/>
        </w:rPr>
      </w:pPr>
      <w:r>
        <w:rPr>
          <w:sz w:val="24"/>
          <w:szCs w:val="24"/>
        </w:rPr>
        <w:t>（三）本合同一式</w:t>
      </w:r>
      <w:r>
        <w:rPr>
          <w:rFonts w:hint="eastAsia"/>
          <w:sz w:val="24"/>
          <w:szCs w:val="24"/>
        </w:rPr>
        <w:t>陆</w:t>
      </w:r>
      <w:r>
        <w:rPr>
          <w:sz w:val="24"/>
          <w:szCs w:val="24"/>
        </w:rPr>
        <w:t>份，甲方执肆份、乙方执</w:t>
      </w:r>
      <w:r>
        <w:rPr>
          <w:rFonts w:hint="eastAsia"/>
          <w:sz w:val="24"/>
          <w:szCs w:val="24"/>
        </w:rPr>
        <w:t>贰</w:t>
      </w:r>
      <w:r>
        <w:rPr>
          <w:sz w:val="24"/>
          <w:szCs w:val="24"/>
        </w:rPr>
        <w:t>份。本合同双方代表签字盖章后生效。</w:t>
      </w:r>
    </w:p>
    <w:p>
      <w:pPr>
        <w:spacing w:line="360" w:lineRule="auto"/>
        <w:ind w:firstLine="480" w:firstLineChars="200"/>
        <w:rPr>
          <w:sz w:val="24"/>
          <w:szCs w:val="24"/>
        </w:rPr>
      </w:pPr>
      <w:r>
        <w:rPr>
          <w:rFonts w:hint="eastAsia"/>
          <w:sz w:val="24"/>
          <w:szCs w:val="24"/>
        </w:rPr>
        <w:t>（四）本合同附件：</w:t>
      </w:r>
    </w:p>
    <w:p>
      <w:pPr>
        <w:spacing w:line="360" w:lineRule="auto"/>
        <w:ind w:firstLine="480" w:firstLineChars="200"/>
        <w:rPr>
          <w:sz w:val="24"/>
          <w:szCs w:val="24"/>
        </w:rPr>
      </w:pPr>
      <w:r>
        <w:rPr>
          <w:rFonts w:hint="eastAsia"/>
          <w:sz w:val="24"/>
          <w:szCs w:val="24"/>
        </w:rPr>
        <w:t>附件1：《报价清单》</w:t>
      </w:r>
    </w:p>
    <w:p>
      <w:pPr>
        <w:spacing w:line="360" w:lineRule="auto"/>
        <w:ind w:firstLine="480" w:firstLineChars="200"/>
        <w:rPr>
          <w:sz w:val="24"/>
          <w:szCs w:val="24"/>
        </w:rPr>
      </w:pPr>
      <w:r>
        <w:rPr>
          <w:rFonts w:hint="eastAsia"/>
          <w:sz w:val="24"/>
          <w:szCs w:val="24"/>
        </w:rPr>
        <w:t>附件2：《技术规格书》</w:t>
      </w:r>
    </w:p>
    <w:p>
      <w:pPr>
        <w:spacing w:line="360" w:lineRule="auto"/>
        <w:ind w:firstLine="480" w:firstLineChars="200"/>
        <w:rPr>
          <w:sz w:val="24"/>
          <w:szCs w:val="24"/>
        </w:rPr>
      </w:pPr>
      <w:r>
        <w:rPr>
          <w:rFonts w:hint="eastAsia"/>
          <w:sz w:val="24"/>
          <w:szCs w:val="24"/>
        </w:rPr>
        <w:t>附件3：《阳光合作协议》</w:t>
      </w:r>
    </w:p>
    <w:p>
      <w:pPr>
        <w:spacing w:line="360" w:lineRule="auto"/>
        <w:ind w:firstLine="480" w:firstLineChars="200"/>
        <w:rPr>
          <w:sz w:val="24"/>
          <w:szCs w:val="24"/>
        </w:rPr>
      </w:pPr>
      <w:r>
        <w:rPr>
          <w:sz w:val="24"/>
          <w:szCs w:val="24"/>
        </w:rPr>
        <w:t>（以下无正文）</w:t>
      </w:r>
    </w:p>
    <w:p>
      <w:pPr>
        <w:spacing w:line="360" w:lineRule="auto"/>
        <w:ind w:firstLine="480" w:firstLineChars="200"/>
        <w:rPr>
          <w:sz w:val="24"/>
          <w:szCs w:val="24"/>
        </w:rPr>
      </w:pPr>
    </w:p>
    <w:p>
      <w:pPr>
        <w:rPr>
          <w:sz w:val="24"/>
          <w:szCs w:val="24"/>
        </w:rPr>
      </w:pPr>
      <w:r>
        <w:rPr>
          <w:sz w:val="24"/>
          <w:szCs w:val="24"/>
        </w:rPr>
        <w:t xml:space="preserve">  甲方（盖章）：               </w:t>
      </w:r>
      <w:r>
        <w:rPr>
          <w:rFonts w:hint="eastAsia"/>
          <w:sz w:val="24"/>
          <w:szCs w:val="24"/>
        </w:rPr>
        <w:t xml:space="preserve">  </w:t>
      </w:r>
      <w:r>
        <w:rPr>
          <w:sz w:val="24"/>
          <w:szCs w:val="24"/>
        </w:rPr>
        <w:t xml:space="preserve">    乙方（盖章）：</w:t>
      </w:r>
    </w:p>
    <w:p>
      <w:pPr>
        <w:ind w:firstLine="240" w:firstLineChars="100"/>
        <w:rPr>
          <w:sz w:val="24"/>
          <w:szCs w:val="24"/>
        </w:rPr>
      </w:pPr>
    </w:p>
    <w:p>
      <w:pPr>
        <w:ind w:firstLine="240" w:firstLineChars="100"/>
        <w:rPr>
          <w:sz w:val="24"/>
          <w:szCs w:val="24"/>
        </w:rPr>
      </w:pPr>
      <w:r>
        <w:rPr>
          <w:sz w:val="24"/>
          <w:szCs w:val="24"/>
        </w:rPr>
        <w:t xml:space="preserve">法定代表人（签章）：            </w:t>
      </w:r>
      <w:r>
        <w:rPr>
          <w:rFonts w:hint="eastAsia"/>
          <w:sz w:val="24"/>
          <w:szCs w:val="24"/>
        </w:rPr>
        <w:t xml:space="preserve">  </w:t>
      </w:r>
      <w:r>
        <w:rPr>
          <w:sz w:val="24"/>
          <w:szCs w:val="24"/>
        </w:rPr>
        <w:t xml:space="preserve"> 法定代表人（签章）：</w:t>
      </w:r>
    </w:p>
    <w:p>
      <w:pPr>
        <w:ind w:firstLine="240" w:firstLineChars="100"/>
        <w:rPr>
          <w:sz w:val="24"/>
          <w:szCs w:val="24"/>
        </w:rPr>
      </w:pPr>
    </w:p>
    <w:p>
      <w:pPr>
        <w:ind w:firstLine="240" w:firstLineChars="100"/>
        <w:rPr>
          <w:sz w:val="24"/>
          <w:szCs w:val="24"/>
        </w:rPr>
      </w:pPr>
      <w:r>
        <w:rPr>
          <w:sz w:val="24"/>
          <w:szCs w:val="24"/>
        </w:rPr>
        <w:t xml:space="preserve">或授权代表人（签字）：           </w:t>
      </w:r>
      <w:r>
        <w:rPr>
          <w:rFonts w:hint="eastAsia"/>
          <w:sz w:val="24"/>
          <w:szCs w:val="24"/>
        </w:rPr>
        <w:t xml:space="preserve">  </w:t>
      </w:r>
      <w:r>
        <w:rPr>
          <w:sz w:val="24"/>
          <w:szCs w:val="24"/>
        </w:rPr>
        <w:t>或授权代表人（签字）：</w:t>
      </w:r>
    </w:p>
    <w:p>
      <w:pPr>
        <w:ind w:left="4290" w:leftChars="100" w:hanging="4080" w:hangingChars="1700"/>
        <w:rPr>
          <w:sz w:val="24"/>
          <w:szCs w:val="24"/>
        </w:rPr>
      </w:pPr>
      <w:r>
        <w:rPr>
          <w:sz w:val="24"/>
          <w:szCs w:val="24"/>
        </w:rPr>
        <w:t xml:space="preserve">                                  </w:t>
      </w:r>
    </w:p>
    <w:p>
      <w:pPr>
        <w:ind w:left="4410" w:leftChars="2100"/>
        <w:rPr>
          <w:sz w:val="24"/>
          <w:szCs w:val="24"/>
        </w:rPr>
      </w:pPr>
      <w:r>
        <w:rPr>
          <w:sz w:val="24"/>
          <w:szCs w:val="24"/>
        </w:rPr>
        <w:t xml:space="preserve">地址： </w:t>
      </w:r>
    </w:p>
    <w:p>
      <w:pPr>
        <w:ind w:left="4200" w:leftChars="2000" w:firstLine="240" w:firstLineChars="100"/>
        <w:rPr>
          <w:sz w:val="24"/>
          <w:szCs w:val="24"/>
        </w:rPr>
      </w:pPr>
    </w:p>
    <w:p>
      <w:pPr>
        <w:ind w:left="4200" w:leftChars="2000" w:firstLine="240" w:firstLineChars="100"/>
        <w:rPr>
          <w:sz w:val="24"/>
          <w:szCs w:val="24"/>
        </w:rPr>
      </w:pPr>
      <w:r>
        <w:rPr>
          <w:sz w:val="24"/>
          <w:szCs w:val="24"/>
        </w:rPr>
        <w:t>电话：</w:t>
      </w:r>
    </w:p>
    <w:p>
      <w:pPr>
        <w:spacing w:line="360" w:lineRule="auto"/>
        <w:ind w:firstLine="240" w:firstLineChars="100"/>
        <w:rPr>
          <w:sz w:val="24"/>
          <w:szCs w:val="24"/>
        </w:rPr>
      </w:pPr>
    </w:p>
    <w:p>
      <w:pPr>
        <w:spacing w:line="360" w:lineRule="auto"/>
        <w:ind w:firstLine="240" w:firstLineChars="100"/>
        <w:rPr>
          <w:sz w:val="24"/>
          <w:szCs w:val="24"/>
        </w:rPr>
      </w:pPr>
      <w:r>
        <w:rPr>
          <w:sz w:val="24"/>
          <w:szCs w:val="24"/>
        </w:rPr>
        <w:t>签约地点：东莞市</w:t>
      </w:r>
    </w:p>
    <w:p>
      <w:pPr>
        <w:spacing w:line="360" w:lineRule="auto"/>
        <w:ind w:firstLine="240" w:firstLineChars="100"/>
        <w:rPr>
          <w:sz w:val="24"/>
          <w:szCs w:val="24"/>
        </w:rPr>
      </w:pPr>
      <w:r>
        <w:rPr>
          <w:sz w:val="24"/>
          <w:szCs w:val="24"/>
        </w:rPr>
        <w:t>签订时间：</w:t>
      </w:r>
      <w:r>
        <w:rPr>
          <w:rFonts w:hint="eastAsia"/>
          <w:sz w:val="24"/>
          <w:szCs w:val="24"/>
        </w:rPr>
        <w:t>2</w:t>
      </w:r>
      <w:r>
        <w:rPr>
          <w:sz w:val="24"/>
          <w:szCs w:val="24"/>
        </w:rPr>
        <w:t>02</w:t>
      </w:r>
      <w:r>
        <w:rPr>
          <w:rFonts w:hint="eastAsia"/>
          <w:sz w:val="24"/>
          <w:szCs w:val="24"/>
        </w:rPr>
        <w:t>1</w:t>
      </w:r>
      <w:r>
        <w:rPr>
          <w:sz w:val="24"/>
          <w:szCs w:val="24"/>
        </w:rPr>
        <w:t xml:space="preserve"> </w:t>
      </w:r>
      <w:r>
        <w:rPr>
          <w:rFonts w:hint="eastAsia"/>
          <w:sz w:val="24"/>
          <w:szCs w:val="24"/>
        </w:rPr>
        <w:t xml:space="preserve">年 </w:t>
      </w:r>
      <w:r>
        <w:rPr>
          <w:sz w:val="24"/>
          <w:szCs w:val="24"/>
        </w:rPr>
        <w:t xml:space="preserve">  </w:t>
      </w:r>
      <w:r>
        <w:rPr>
          <w:rFonts w:hint="eastAsia"/>
          <w:sz w:val="24"/>
          <w:szCs w:val="24"/>
        </w:rPr>
        <w:t xml:space="preserve">月 </w:t>
      </w:r>
      <w:r>
        <w:rPr>
          <w:sz w:val="24"/>
          <w:szCs w:val="24"/>
        </w:rPr>
        <w:t xml:space="preserve">  </w:t>
      </w:r>
      <w:r>
        <w:rPr>
          <w:rFonts w:hint="eastAsia"/>
          <w:sz w:val="24"/>
          <w:szCs w:val="24"/>
        </w:rPr>
        <w:t>日</w:t>
      </w:r>
    </w:p>
    <w:p>
      <w:pPr>
        <w:spacing w:line="360" w:lineRule="auto"/>
        <w:rPr>
          <w:b/>
          <w:bCs/>
          <w:sz w:val="24"/>
          <w:szCs w:val="24"/>
        </w:rPr>
      </w:pPr>
      <w:r>
        <w:rPr>
          <w:b/>
          <w:bCs/>
          <w:sz w:val="24"/>
          <w:szCs w:val="24"/>
        </w:rPr>
        <w:br w:type="page"/>
      </w:r>
      <w:r>
        <w:rPr>
          <w:b/>
          <w:bCs/>
          <w:sz w:val="24"/>
          <w:szCs w:val="24"/>
        </w:rPr>
        <w:t>附件1：《报价清单》　</w:t>
      </w: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2"/>
        <w:rPr>
          <w:rFonts w:ascii="Times New Roman" w:hAnsi="Times New Roman"/>
          <w:b/>
          <w:bCs/>
          <w:sz w:val="24"/>
          <w:szCs w:val="24"/>
        </w:rPr>
      </w:pPr>
    </w:p>
    <w:p>
      <w:pPr>
        <w:pStyle w:val="32"/>
        <w:spacing w:line="360" w:lineRule="auto"/>
        <w:ind w:firstLine="0" w:firstLineChars="0"/>
        <w:outlineLvl w:val="1"/>
        <w:rPr>
          <w:b/>
          <w:bCs/>
          <w:sz w:val="24"/>
          <w:szCs w:val="24"/>
        </w:rPr>
      </w:pPr>
      <w:r>
        <w:rPr>
          <w:b/>
          <w:bCs/>
          <w:sz w:val="24"/>
          <w:szCs w:val="24"/>
        </w:rPr>
        <w:t>附件</w:t>
      </w:r>
      <w:r>
        <w:rPr>
          <w:rFonts w:hint="eastAsia"/>
          <w:b/>
          <w:bCs/>
          <w:sz w:val="24"/>
          <w:szCs w:val="24"/>
        </w:rPr>
        <w:t>2</w:t>
      </w:r>
      <w:r>
        <w:rPr>
          <w:b/>
          <w:bCs/>
          <w:sz w:val="24"/>
          <w:szCs w:val="24"/>
        </w:rPr>
        <w:t>：</w:t>
      </w:r>
      <w:r>
        <w:rPr>
          <w:rFonts w:hint="eastAsia"/>
          <w:b/>
          <w:bCs/>
          <w:sz w:val="24"/>
          <w:szCs w:val="24"/>
        </w:rPr>
        <w:t>技术规格书</w:t>
      </w:r>
    </w:p>
    <w:p>
      <w:pPr>
        <w:snapToGrid w:val="0"/>
        <w:jc w:val="center"/>
        <w:rPr>
          <w:rFonts w:ascii="Times New Roman" w:hAnsi="Times New Roman" w:eastAsiaTheme="minorEastAsia"/>
          <w:b/>
          <w:color w:val="auto"/>
          <w:sz w:val="52"/>
          <w:szCs w:val="52"/>
          <w:highlight w:val="none"/>
        </w:rPr>
      </w:pPr>
    </w:p>
    <w:p>
      <w:pPr>
        <w:snapToGrid w:val="0"/>
        <w:jc w:val="center"/>
        <w:rPr>
          <w:rFonts w:ascii="Times New Roman" w:hAnsi="Times New Roman" w:eastAsiaTheme="minorEastAsia"/>
          <w:b/>
          <w:color w:val="auto"/>
          <w:sz w:val="52"/>
          <w:szCs w:val="52"/>
          <w:highlight w:val="none"/>
        </w:rPr>
      </w:pPr>
    </w:p>
    <w:p>
      <w:pPr>
        <w:snapToGrid w:val="0"/>
        <w:jc w:val="center"/>
        <w:rPr>
          <w:rFonts w:ascii="Times New Roman" w:hAnsi="Times New Roman" w:eastAsiaTheme="minorEastAsia"/>
          <w:b/>
          <w:color w:val="auto"/>
          <w:sz w:val="52"/>
          <w:szCs w:val="52"/>
          <w:highlight w:val="none"/>
        </w:rPr>
      </w:pPr>
    </w:p>
    <w:p>
      <w:pPr>
        <w:snapToGrid w:val="0"/>
        <w:jc w:val="center"/>
        <w:rPr>
          <w:rFonts w:ascii="Times New Roman" w:hAnsi="Times New Roman" w:eastAsiaTheme="minorEastAsia"/>
          <w:b/>
          <w:color w:val="auto"/>
          <w:sz w:val="52"/>
          <w:szCs w:val="52"/>
          <w:highlight w:val="none"/>
        </w:rPr>
      </w:pPr>
      <w:r>
        <w:rPr>
          <w:rFonts w:ascii="Times New Roman" w:hAnsi="Times New Roman" w:eastAsiaTheme="minorEastAsia"/>
          <w:b/>
          <w:color w:val="auto"/>
          <w:sz w:val="52"/>
          <w:szCs w:val="52"/>
          <w:highlight w:val="none"/>
        </w:rPr>
        <w:t>东莞市海心沙资源综合利用中心</w:t>
      </w:r>
    </w:p>
    <w:p>
      <w:pPr>
        <w:pStyle w:val="53"/>
        <w:numPr>
          <w:ilvl w:val="255"/>
          <w:numId w:val="0"/>
        </w:numPr>
        <w:snapToGrid w:val="0"/>
        <w:spacing w:line="360" w:lineRule="auto"/>
        <w:jc w:val="center"/>
        <w:rPr>
          <w:rFonts w:ascii="Times New Roman" w:hAnsi="Times New Roman" w:eastAsiaTheme="minorEastAsia"/>
          <w:b/>
          <w:color w:val="auto"/>
          <w:sz w:val="52"/>
          <w:szCs w:val="52"/>
          <w:highlight w:val="none"/>
        </w:rPr>
      </w:pPr>
      <w:r>
        <w:rPr>
          <w:rFonts w:hint="default" w:ascii="Times New Roman" w:hAnsi="Times New Roman" w:eastAsiaTheme="minorEastAsia"/>
          <w:b/>
          <w:color w:val="auto"/>
          <w:sz w:val="52"/>
          <w:szCs w:val="52"/>
          <w:highlight w:val="none"/>
        </w:rPr>
        <w:t>绿色工业服务项目</w:t>
      </w:r>
    </w:p>
    <w:p>
      <w:pPr>
        <w:snapToGrid w:val="0"/>
        <w:jc w:val="center"/>
        <w:rPr>
          <w:rFonts w:ascii="Times New Roman" w:hAnsi="Times New Roman" w:eastAsiaTheme="minorEastAsia"/>
          <w:b/>
          <w:color w:val="auto"/>
          <w:sz w:val="52"/>
          <w:szCs w:val="52"/>
          <w:highlight w:val="none"/>
        </w:rPr>
      </w:pPr>
    </w:p>
    <w:p>
      <w:pPr>
        <w:pStyle w:val="2"/>
        <w:ind w:left="0" w:leftChars="0" w:firstLine="0" w:firstLineChars="0"/>
        <w:rPr>
          <w:rFonts w:ascii="Times New Roman" w:hAnsi="Times New Roman" w:eastAsiaTheme="minorEastAsia"/>
          <w:b/>
          <w:color w:val="auto"/>
          <w:sz w:val="52"/>
          <w:szCs w:val="52"/>
          <w:highlight w:val="none"/>
        </w:rPr>
      </w:pPr>
    </w:p>
    <w:p>
      <w:pPr>
        <w:pStyle w:val="40"/>
        <w:snapToGrid w:val="0"/>
        <w:ind w:left="0" w:leftChars="0" w:firstLine="0" w:firstLineChars="0"/>
        <w:jc w:val="center"/>
        <w:rPr>
          <w:rFonts w:hint="default" w:ascii="Times New Roman" w:hAnsi="Times New Roman" w:eastAsiaTheme="minorEastAsia"/>
          <w:b/>
          <w:color w:val="auto"/>
          <w:sz w:val="52"/>
          <w:szCs w:val="52"/>
          <w:highlight w:val="none"/>
        </w:rPr>
      </w:pPr>
      <w:r>
        <w:rPr>
          <w:rFonts w:hint="default" w:ascii="Times New Roman" w:hAnsi="Times New Roman" w:eastAsiaTheme="minorEastAsia"/>
          <w:b/>
          <w:color w:val="auto"/>
          <w:sz w:val="52"/>
          <w:szCs w:val="52"/>
          <w:highlight w:val="none"/>
        </w:rPr>
        <w:t>检测中心</w:t>
      </w:r>
      <w:r>
        <w:rPr>
          <w:rFonts w:hint="default" w:ascii="Times New Roman" w:hAnsi="Times New Roman" w:eastAsiaTheme="minorEastAsia"/>
          <w:b/>
          <w:color w:val="auto"/>
          <w:sz w:val="52"/>
          <w:szCs w:val="52"/>
          <w:highlight w:val="none"/>
          <w:lang w:val="en-US" w:eastAsia="zh-CN"/>
        </w:rPr>
        <w:t>阿贝尔闪点仪（ABA4）</w:t>
      </w:r>
    </w:p>
    <w:p>
      <w:pPr>
        <w:snapToGrid w:val="0"/>
        <w:jc w:val="center"/>
        <w:rPr>
          <w:rFonts w:ascii="Times New Roman" w:hAnsi="Times New Roman" w:eastAsiaTheme="minorEastAsia"/>
          <w:b/>
          <w:color w:val="auto"/>
          <w:sz w:val="52"/>
          <w:szCs w:val="52"/>
          <w:highlight w:val="none"/>
        </w:rPr>
      </w:pPr>
      <w:r>
        <w:rPr>
          <w:rFonts w:ascii="Times New Roman" w:hAnsi="Times New Roman" w:cs="Times New Roman" w:eastAsiaTheme="minorEastAsia"/>
          <w:b/>
          <w:color w:val="auto"/>
          <w:sz w:val="52"/>
          <w:szCs w:val="52"/>
          <w:highlight w:val="none"/>
        </w:rPr>
        <w:t>技术</w:t>
      </w:r>
      <w:r>
        <w:rPr>
          <w:rFonts w:hint="default" w:ascii="Times New Roman" w:hAnsi="Times New Roman" w:cs="Times New Roman" w:eastAsiaTheme="minorEastAsia"/>
          <w:b/>
          <w:color w:val="auto"/>
          <w:sz w:val="52"/>
          <w:szCs w:val="52"/>
          <w:highlight w:val="none"/>
        </w:rPr>
        <w:t>规格书</w:t>
      </w:r>
    </w:p>
    <w:p>
      <w:pPr>
        <w:pStyle w:val="40"/>
        <w:snapToGrid w:val="0"/>
        <w:ind w:left="2160" w:firstLine="1040"/>
        <w:rPr>
          <w:rFonts w:ascii="Times New Roman" w:hAnsi="Times New Roman" w:eastAsiaTheme="minorEastAsia"/>
          <w:b/>
          <w:color w:val="auto"/>
          <w:sz w:val="52"/>
          <w:szCs w:val="52"/>
          <w:highlight w:val="none"/>
        </w:rPr>
      </w:pPr>
    </w:p>
    <w:p>
      <w:pPr>
        <w:pStyle w:val="40"/>
        <w:snapToGrid w:val="0"/>
        <w:ind w:left="2160" w:firstLine="1040"/>
        <w:rPr>
          <w:rFonts w:ascii="Times New Roman" w:hAnsi="Times New Roman" w:eastAsiaTheme="minorEastAsia"/>
          <w:b/>
          <w:color w:val="auto"/>
          <w:sz w:val="52"/>
          <w:szCs w:val="52"/>
          <w:highlight w:val="none"/>
        </w:rPr>
      </w:pPr>
    </w:p>
    <w:p>
      <w:pPr>
        <w:pStyle w:val="40"/>
        <w:snapToGrid w:val="0"/>
        <w:ind w:left="2160" w:firstLine="1040"/>
        <w:rPr>
          <w:rFonts w:ascii="Times New Roman" w:hAnsi="Times New Roman" w:eastAsiaTheme="minorEastAsia"/>
          <w:b/>
          <w:color w:val="auto"/>
          <w:sz w:val="52"/>
          <w:szCs w:val="52"/>
          <w:highlight w:val="none"/>
        </w:rPr>
      </w:pPr>
    </w:p>
    <w:p>
      <w:pPr>
        <w:pStyle w:val="40"/>
        <w:snapToGrid w:val="0"/>
        <w:ind w:left="2160" w:firstLine="1040"/>
        <w:rPr>
          <w:rFonts w:ascii="Times New Roman" w:hAnsi="Times New Roman" w:eastAsiaTheme="minorEastAsia"/>
          <w:b/>
          <w:color w:val="auto"/>
          <w:sz w:val="52"/>
          <w:szCs w:val="52"/>
          <w:highlight w:val="none"/>
        </w:rPr>
      </w:pPr>
    </w:p>
    <w:p>
      <w:pPr>
        <w:pStyle w:val="40"/>
        <w:snapToGrid w:val="0"/>
        <w:ind w:left="2160" w:firstLine="1040"/>
        <w:rPr>
          <w:rFonts w:ascii="Times New Roman" w:hAnsi="Times New Roman" w:eastAsiaTheme="minorEastAsia"/>
          <w:b/>
          <w:color w:val="auto"/>
          <w:sz w:val="52"/>
          <w:szCs w:val="52"/>
          <w:highlight w:val="none"/>
        </w:rPr>
      </w:pPr>
    </w:p>
    <w:p>
      <w:pPr>
        <w:pStyle w:val="40"/>
        <w:snapToGrid w:val="0"/>
        <w:ind w:left="2160" w:firstLine="1040"/>
        <w:rPr>
          <w:rFonts w:ascii="Times New Roman" w:hAnsi="Times New Roman" w:eastAsiaTheme="minorEastAsia"/>
          <w:b/>
          <w:color w:val="auto"/>
          <w:sz w:val="52"/>
          <w:szCs w:val="52"/>
          <w:highlight w:val="none"/>
        </w:rPr>
      </w:pPr>
    </w:p>
    <w:p>
      <w:pPr>
        <w:snapToGrid w:val="0"/>
        <w:jc w:val="center"/>
        <w:rPr>
          <w:rFonts w:ascii="Times New Roman" w:hAnsi="Times New Roman" w:eastAsiaTheme="minorEastAsia"/>
          <w:color w:val="auto"/>
          <w:sz w:val="36"/>
          <w:szCs w:val="36"/>
          <w:highlight w:val="none"/>
        </w:rPr>
      </w:pPr>
      <w:r>
        <w:rPr>
          <w:rFonts w:ascii="Times New Roman" w:hAnsi="Times New Roman" w:cs="Times New Roman" w:eastAsiaTheme="minorEastAsia"/>
          <w:color w:val="auto"/>
          <w:sz w:val="36"/>
          <w:szCs w:val="36"/>
          <w:highlight w:val="none"/>
        </w:rPr>
        <w:t>东莞市新东欣环保投资有限公司</w:t>
      </w:r>
    </w:p>
    <w:p>
      <w:pPr>
        <w:snapToGrid w:val="0"/>
        <w:jc w:val="center"/>
        <w:rPr>
          <w:rFonts w:ascii="Times New Roman" w:hAnsi="Times New Roman" w:eastAsiaTheme="minorEastAsia"/>
          <w:color w:val="auto"/>
          <w:sz w:val="36"/>
          <w:szCs w:val="36"/>
          <w:highlight w:val="none"/>
        </w:rPr>
      </w:pPr>
    </w:p>
    <w:p>
      <w:pPr>
        <w:spacing w:before="156" w:beforeLines="50" w:after="156" w:afterLines="50" w:line="360" w:lineRule="auto"/>
        <w:jc w:val="center"/>
        <w:outlineLvl w:val="9"/>
        <w:rPr>
          <w:rFonts w:ascii="Times New Roman" w:hAnsi="Times New Roman" w:eastAsiaTheme="minorEastAsia"/>
          <w:b/>
          <w:color w:val="auto"/>
          <w:sz w:val="32"/>
          <w:szCs w:val="32"/>
          <w:highlight w:val="none"/>
        </w:rPr>
      </w:pPr>
      <w:r>
        <w:rPr>
          <w:rFonts w:ascii="Times New Roman" w:hAnsi="Times New Roman" w:eastAsiaTheme="minorEastAsia"/>
          <w:color w:val="auto"/>
          <w:sz w:val="36"/>
          <w:szCs w:val="36"/>
          <w:highlight w:val="none"/>
        </w:rPr>
        <w:t xml:space="preserve"> </w:t>
      </w:r>
      <w:r>
        <w:rPr>
          <w:rFonts w:hint="default" w:ascii="Times New Roman" w:hAnsi="Times New Roman" w:eastAsiaTheme="minorEastAsia"/>
          <w:color w:val="auto"/>
          <w:sz w:val="36"/>
          <w:szCs w:val="36"/>
          <w:highlight w:val="none"/>
        </w:rPr>
        <w:t>二</w:t>
      </w:r>
      <w:r>
        <w:rPr>
          <w:rFonts w:hint="default" w:ascii="Times New Roman" w:hAnsi="Times New Roman" w:cs="Times New Roman" w:eastAsiaTheme="minorEastAsia"/>
          <w:color w:val="auto"/>
          <w:sz w:val="36"/>
          <w:szCs w:val="36"/>
          <w:highlight w:val="none"/>
        </w:rPr>
        <w:t>〇</w:t>
      </w:r>
      <w:r>
        <w:rPr>
          <w:rFonts w:hint="default" w:ascii="Times New Roman" w:hAnsi="Times New Roman" w:cs="Times New Roman" w:eastAsiaTheme="minorEastAsia"/>
          <w:color w:val="auto"/>
          <w:sz w:val="36"/>
          <w:szCs w:val="36"/>
          <w:highlight w:val="none"/>
          <w:lang w:val="en-US" w:eastAsia="zh-CN"/>
        </w:rPr>
        <w:t>二一</w:t>
      </w:r>
      <w:r>
        <w:rPr>
          <w:rFonts w:hint="default" w:ascii="Times New Roman" w:hAnsi="Times New Roman" w:cs="Times New Roman" w:eastAsiaTheme="minorEastAsia"/>
          <w:color w:val="auto"/>
          <w:sz w:val="36"/>
          <w:szCs w:val="36"/>
          <w:highlight w:val="none"/>
        </w:rPr>
        <w:t>年</w:t>
      </w:r>
      <w:r>
        <w:rPr>
          <w:rFonts w:hint="default" w:ascii="Times New Roman" w:hAnsi="Times New Roman" w:cs="Times New Roman" w:eastAsiaTheme="minorEastAsia"/>
          <w:color w:val="auto"/>
          <w:sz w:val="36"/>
          <w:szCs w:val="36"/>
          <w:highlight w:val="none"/>
          <w:lang w:val="en-US" w:eastAsia="zh-CN"/>
        </w:rPr>
        <w:t>八</w:t>
      </w:r>
      <w:r>
        <w:rPr>
          <w:rFonts w:hint="default" w:ascii="Times New Roman" w:hAnsi="Times New Roman" w:cs="Times New Roman" w:eastAsiaTheme="minorEastAsia"/>
          <w:color w:val="auto"/>
          <w:sz w:val="36"/>
          <w:szCs w:val="36"/>
          <w:highlight w:val="none"/>
        </w:rPr>
        <w:t>月</w:t>
      </w:r>
      <w:r>
        <w:rPr>
          <w:rFonts w:ascii="Times New Roman" w:hAnsi="Times New Roman" w:eastAsiaTheme="minorEastAsia"/>
          <w:b/>
          <w:color w:val="auto"/>
          <w:sz w:val="32"/>
          <w:szCs w:val="32"/>
          <w:highlight w:val="none"/>
        </w:rPr>
        <w:br w:type="page"/>
      </w:r>
    </w:p>
    <w:sdt>
      <w:sdtPr>
        <w:rPr>
          <w:rFonts w:ascii="Times New Roman" w:hAnsi="Times New Roman" w:eastAsia="宋体" w:cs="Times New Roman"/>
          <w:color w:val="auto"/>
          <w:kern w:val="2"/>
          <w:sz w:val="21"/>
          <w:szCs w:val="24"/>
          <w:highlight w:val="none"/>
          <w:lang w:val="en-US" w:eastAsia="zh-CN" w:bidi="ar-SA"/>
        </w:rPr>
        <w:id w:val="147479207"/>
        <w15:color w:val="DBDBDB"/>
        <w:docPartObj>
          <w:docPartGallery w:val="Table of Contents"/>
          <w:docPartUnique/>
        </w:docPartObj>
      </w:sdtPr>
      <w:sdtEndPr>
        <w:rPr>
          <w:rFonts w:ascii="Times New Roman" w:hAnsi="Times New Roman" w:eastAsia="宋体" w:cs="Times New Roman"/>
          <w:b/>
          <w:color w:val="auto"/>
          <w:kern w:val="2"/>
          <w:sz w:val="21"/>
          <w:szCs w:val="24"/>
          <w:highlight w:val="none"/>
          <w:lang w:val="en-US" w:eastAsia="zh-CN" w:bidi="ar-SA"/>
        </w:rPr>
      </w:sdtEndPr>
      <w:sdtContent>
        <w:p>
          <w:pPr>
            <w:spacing w:before="0" w:beforeLines="0" w:after="0" w:afterLines="0" w:line="240" w:lineRule="auto"/>
            <w:ind w:left="0" w:leftChars="0" w:right="0" w:rightChars="0" w:firstLine="0" w:firstLineChars="0"/>
            <w:jc w:val="center"/>
            <w:rPr>
              <w:color w:val="auto"/>
              <w:highlight w:val="none"/>
            </w:rPr>
          </w:pPr>
          <w:r>
            <w:rPr>
              <w:rFonts w:ascii="Times New Roman" w:hAnsi="Times New Roman" w:eastAsia="宋体"/>
              <w:color w:val="auto"/>
              <w:sz w:val="21"/>
              <w:highlight w:val="none"/>
            </w:rPr>
            <w:t>目录</w:t>
          </w:r>
        </w:p>
        <w:p>
          <w:pPr>
            <w:pStyle w:val="13"/>
            <w:tabs>
              <w:tab w:val="right" w:leader="dot" w:pos="8306"/>
            </w:tabs>
          </w:pPr>
          <w:r>
            <w:rPr>
              <w:color w:val="auto"/>
              <w:sz w:val="24"/>
              <w:highlight w:val="none"/>
            </w:rPr>
            <w:fldChar w:fldCharType="begin"/>
          </w:r>
          <w:r>
            <w:rPr>
              <w:color w:val="auto"/>
              <w:sz w:val="24"/>
              <w:highlight w:val="none"/>
            </w:rPr>
            <w:instrText xml:space="preserve">TOC \o "1-2" \h \u </w:instrText>
          </w:r>
          <w:r>
            <w:rPr>
              <w:color w:val="auto"/>
              <w:sz w:val="24"/>
              <w:highlight w:val="none"/>
            </w:rPr>
            <w:fldChar w:fldCharType="separate"/>
          </w:r>
          <w:r>
            <w:rPr>
              <w:color w:val="auto"/>
              <w:highlight w:val="none"/>
            </w:rPr>
            <w:fldChar w:fldCharType="begin"/>
          </w:r>
          <w:r>
            <w:rPr>
              <w:highlight w:val="none"/>
            </w:rPr>
            <w:instrText xml:space="preserve"> HYPERLINK \l _Toc15608 </w:instrText>
          </w:r>
          <w:r>
            <w:rPr>
              <w:highlight w:val="none"/>
            </w:rPr>
            <w:fldChar w:fldCharType="separate"/>
          </w:r>
          <w:r>
            <w:rPr>
              <w:rFonts w:hint="default" w:ascii="Times New Roman" w:hAnsi="Times New Roman" w:cs="Times New Roman"/>
              <w:szCs w:val="32"/>
              <w:highlight w:val="none"/>
              <w:lang w:eastAsia="zh-CN"/>
            </w:rPr>
            <w:t>1 项目概况</w:t>
          </w:r>
          <w:r>
            <w:tab/>
          </w:r>
          <w:r>
            <w:fldChar w:fldCharType="begin"/>
          </w:r>
          <w:r>
            <w:instrText xml:space="preserve"> PAGEREF _Toc15608 \h </w:instrText>
          </w:r>
          <w:r>
            <w:fldChar w:fldCharType="separate"/>
          </w:r>
          <w:r>
            <w:t>13</w:t>
          </w:r>
          <w:r>
            <w:fldChar w:fldCharType="end"/>
          </w:r>
          <w:r>
            <w:rPr>
              <w:color w:val="auto"/>
              <w:highlight w:val="none"/>
            </w:rPr>
            <w:fldChar w:fldCharType="end"/>
          </w:r>
        </w:p>
        <w:p>
          <w:pPr>
            <w:pStyle w:val="13"/>
            <w:tabs>
              <w:tab w:val="right" w:leader="dot" w:pos="8306"/>
            </w:tabs>
          </w:pPr>
          <w:r>
            <w:rPr>
              <w:color w:val="auto"/>
              <w:highlight w:val="none"/>
            </w:rPr>
            <w:fldChar w:fldCharType="begin"/>
          </w:r>
          <w:r>
            <w:rPr>
              <w:highlight w:val="none"/>
            </w:rPr>
            <w:instrText xml:space="preserve"> HYPERLINK \l _Toc29427 </w:instrText>
          </w:r>
          <w:r>
            <w:rPr>
              <w:highlight w:val="none"/>
            </w:rPr>
            <w:fldChar w:fldCharType="separate"/>
          </w:r>
          <w:r>
            <w:rPr>
              <w:rFonts w:hint="default" w:ascii="Times New Roman" w:hAnsi="Times New Roman" w:cs="Times New Roman"/>
              <w:szCs w:val="32"/>
              <w:highlight w:val="none"/>
              <w:lang w:eastAsia="zh-CN"/>
            </w:rPr>
            <w:t>2 采购范围</w:t>
          </w:r>
          <w:r>
            <w:tab/>
          </w:r>
          <w:r>
            <w:fldChar w:fldCharType="begin"/>
          </w:r>
          <w:r>
            <w:instrText xml:space="preserve"> PAGEREF _Toc29427 \h </w:instrText>
          </w:r>
          <w:r>
            <w:fldChar w:fldCharType="separate"/>
          </w:r>
          <w:r>
            <w:t>13</w:t>
          </w:r>
          <w:r>
            <w:fldChar w:fldCharType="end"/>
          </w:r>
          <w:r>
            <w:rPr>
              <w:color w:val="auto"/>
              <w:highlight w:val="none"/>
            </w:rPr>
            <w:fldChar w:fldCharType="end"/>
          </w:r>
        </w:p>
        <w:p>
          <w:pPr>
            <w:pStyle w:val="13"/>
            <w:tabs>
              <w:tab w:val="right" w:leader="dot" w:pos="8306"/>
            </w:tabs>
          </w:pPr>
          <w:r>
            <w:rPr>
              <w:color w:val="auto"/>
              <w:highlight w:val="none"/>
            </w:rPr>
            <w:fldChar w:fldCharType="begin"/>
          </w:r>
          <w:r>
            <w:rPr>
              <w:highlight w:val="none"/>
            </w:rPr>
            <w:instrText xml:space="preserve"> HYPERLINK \l _Toc15736 </w:instrText>
          </w:r>
          <w:r>
            <w:rPr>
              <w:highlight w:val="none"/>
            </w:rPr>
            <w:fldChar w:fldCharType="separate"/>
          </w:r>
          <w:r>
            <w:rPr>
              <w:rFonts w:hint="default" w:ascii="Times New Roman" w:hAnsi="Times New Roman" w:cs="Times New Roman"/>
              <w:szCs w:val="32"/>
              <w:highlight w:val="none"/>
              <w:lang w:eastAsia="zh-CN"/>
            </w:rPr>
            <w:t>3 项目进度要求</w:t>
          </w:r>
          <w:r>
            <w:tab/>
          </w:r>
          <w:r>
            <w:fldChar w:fldCharType="begin"/>
          </w:r>
          <w:r>
            <w:instrText xml:space="preserve"> PAGEREF _Toc15736 \h </w:instrText>
          </w:r>
          <w:r>
            <w:fldChar w:fldCharType="separate"/>
          </w:r>
          <w:r>
            <w:t>13</w:t>
          </w:r>
          <w:r>
            <w:fldChar w:fldCharType="end"/>
          </w:r>
          <w:r>
            <w:rPr>
              <w:color w:val="auto"/>
              <w:highlight w:val="none"/>
            </w:rPr>
            <w:fldChar w:fldCharType="end"/>
          </w:r>
        </w:p>
        <w:p>
          <w:pPr>
            <w:pStyle w:val="13"/>
            <w:tabs>
              <w:tab w:val="right" w:leader="dot" w:pos="8306"/>
            </w:tabs>
          </w:pPr>
          <w:r>
            <w:rPr>
              <w:color w:val="auto"/>
              <w:highlight w:val="none"/>
            </w:rPr>
            <w:fldChar w:fldCharType="begin"/>
          </w:r>
          <w:r>
            <w:rPr>
              <w:highlight w:val="none"/>
            </w:rPr>
            <w:instrText xml:space="preserve"> HYPERLINK \l _Toc12087 </w:instrText>
          </w:r>
          <w:r>
            <w:rPr>
              <w:highlight w:val="none"/>
            </w:rPr>
            <w:fldChar w:fldCharType="separate"/>
          </w:r>
          <w:r>
            <w:rPr>
              <w:rFonts w:hint="default" w:ascii="Times New Roman" w:hAnsi="Times New Roman" w:cs="Times New Roman"/>
              <w:szCs w:val="32"/>
              <w:highlight w:val="none"/>
              <w:lang w:eastAsia="zh-CN"/>
            </w:rPr>
            <w:t>4</w:t>
          </w:r>
          <w:r>
            <w:rPr>
              <w:rFonts w:ascii="Times New Roman" w:hAnsi="Times New Roman"/>
              <w:szCs w:val="32"/>
              <w:highlight w:val="none"/>
              <w:lang w:eastAsia="zh-CN"/>
            </w:rPr>
            <w:t xml:space="preserve"> </w:t>
          </w:r>
          <w:r>
            <w:rPr>
              <w:rFonts w:hint="default" w:ascii="Times New Roman" w:hAnsi="Times New Roman"/>
              <w:szCs w:val="32"/>
              <w:highlight w:val="none"/>
              <w:lang w:eastAsia="zh-CN"/>
            </w:rPr>
            <w:t>项目要求</w:t>
          </w:r>
          <w:r>
            <w:tab/>
          </w:r>
          <w:r>
            <w:fldChar w:fldCharType="begin"/>
          </w:r>
          <w:r>
            <w:instrText xml:space="preserve"> PAGEREF _Toc12087 \h </w:instrText>
          </w:r>
          <w:r>
            <w:fldChar w:fldCharType="separate"/>
          </w:r>
          <w:r>
            <w:t>13</w:t>
          </w:r>
          <w:r>
            <w:fldChar w:fldCharType="end"/>
          </w:r>
          <w:r>
            <w:rPr>
              <w:color w:val="auto"/>
              <w:highlight w:val="none"/>
            </w:rPr>
            <w:fldChar w:fldCharType="end"/>
          </w:r>
        </w:p>
        <w:p>
          <w:pPr>
            <w:pStyle w:val="14"/>
            <w:tabs>
              <w:tab w:val="right" w:leader="dot" w:pos="8306"/>
            </w:tabs>
          </w:pPr>
          <w:r>
            <w:rPr>
              <w:color w:val="auto"/>
              <w:highlight w:val="none"/>
            </w:rPr>
            <w:fldChar w:fldCharType="begin"/>
          </w:r>
          <w:r>
            <w:rPr>
              <w:highlight w:val="none"/>
            </w:rPr>
            <w:instrText xml:space="preserve"> HYPERLINK \l _Toc25088 </w:instrText>
          </w:r>
          <w:r>
            <w:rPr>
              <w:highlight w:val="none"/>
            </w:rPr>
            <w:fldChar w:fldCharType="separate"/>
          </w:r>
          <w:r>
            <w:rPr>
              <w:rFonts w:hint="default" w:ascii="Times New Roman" w:hAnsi="Times New Roman"/>
              <w:bCs/>
              <w:highlight w:val="none"/>
            </w:rPr>
            <w:t>4.1 供货要求</w:t>
          </w:r>
          <w:r>
            <w:tab/>
          </w:r>
          <w:r>
            <w:fldChar w:fldCharType="begin"/>
          </w:r>
          <w:r>
            <w:instrText xml:space="preserve"> PAGEREF _Toc25088 \h </w:instrText>
          </w:r>
          <w:r>
            <w:fldChar w:fldCharType="separate"/>
          </w:r>
          <w:r>
            <w:t>13</w:t>
          </w:r>
          <w:r>
            <w:fldChar w:fldCharType="end"/>
          </w:r>
          <w:r>
            <w:rPr>
              <w:color w:val="auto"/>
              <w:highlight w:val="none"/>
            </w:rPr>
            <w:fldChar w:fldCharType="end"/>
          </w:r>
        </w:p>
        <w:p>
          <w:pPr>
            <w:pStyle w:val="14"/>
            <w:tabs>
              <w:tab w:val="right" w:leader="dot" w:pos="8306"/>
            </w:tabs>
          </w:pPr>
          <w:r>
            <w:rPr>
              <w:color w:val="auto"/>
              <w:highlight w:val="none"/>
            </w:rPr>
            <w:fldChar w:fldCharType="begin"/>
          </w:r>
          <w:r>
            <w:rPr>
              <w:highlight w:val="none"/>
            </w:rPr>
            <w:instrText xml:space="preserve"> HYPERLINK \l _Toc32197 </w:instrText>
          </w:r>
          <w:r>
            <w:rPr>
              <w:highlight w:val="none"/>
            </w:rPr>
            <w:fldChar w:fldCharType="separate"/>
          </w:r>
          <w:r>
            <w:rPr>
              <w:rFonts w:hint="default" w:ascii="Times New Roman" w:hAnsi="Times New Roman"/>
              <w:bCs/>
              <w:highlight w:val="none"/>
            </w:rPr>
            <w:t>4.2 验收要求</w:t>
          </w:r>
          <w:r>
            <w:tab/>
          </w:r>
          <w:r>
            <w:fldChar w:fldCharType="begin"/>
          </w:r>
          <w:r>
            <w:instrText xml:space="preserve"> PAGEREF _Toc32197 \h </w:instrText>
          </w:r>
          <w:r>
            <w:fldChar w:fldCharType="separate"/>
          </w:r>
          <w:r>
            <w:t>14</w:t>
          </w:r>
          <w:r>
            <w:fldChar w:fldCharType="end"/>
          </w:r>
          <w:r>
            <w:rPr>
              <w:color w:val="auto"/>
              <w:highlight w:val="none"/>
            </w:rPr>
            <w:fldChar w:fldCharType="end"/>
          </w:r>
        </w:p>
        <w:p>
          <w:pPr>
            <w:pStyle w:val="14"/>
            <w:tabs>
              <w:tab w:val="right" w:leader="dot" w:pos="8306"/>
            </w:tabs>
          </w:pPr>
          <w:r>
            <w:rPr>
              <w:color w:val="auto"/>
              <w:highlight w:val="none"/>
            </w:rPr>
            <w:fldChar w:fldCharType="begin"/>
          </w:r>
          <w:r>
            <w:rPr>
              <w:highlight w:val="none"/>
            </w:rPr>
            <w:instrText xml:space="preserve"> HYPERLINK \l _Toc27013 </w:instrText>
          </w:r>
          <w:r>
            <w:rPr>
              <w:highlight w:val="none"/>
            </w:rPr>
            <w:fldChar w:fldCharType="separate"/>
          </w:r>
          <w:r>
            <w:rPr>
              <w:rFonts w:hint="default" w:ascii="Times New Roman" w:hAnsi="Times New Roman"/>
              <w:bCs/>
              <w:highlight w:val="none"/>
            </w:rPr>
            <w:t>4.3 售后服务及培训要求</w:t>
          </w:r>
          <w:r>
            <w:tab/>
          </w:r>
          <w:r>
            <w:fldChar w:fldCharType="begin"/>
          </w:r>
          <w:r>
            <w:instrText xml:space="preserve"> PAGEREF _Toc27013 \h </w:instrText>
          </w:r>
          <w:r>
            <w:fldChar w:fldCharType="separate"/>
          </w:r>
          <w:r>
            <w:t>14</w:t>
          </w:r>
          <w:r>
            <w:fldChar w:fldCharType="end"/>
          </w:r>
          <w:r>
            <w:rPr>
              <w:color w:val="auto"/>
              <w:highlight w:val="none"/>
            </w:rPr>
            <w:fldChar w:fldCharType="end"/>
          </w:r>
        </w:p>
        <w:p>
          <w:pPr>
            <w:pStyle w:val="14"/>
            <w:tabs>
              <w:tab w:val="right" w:leader="dot" w:pos="8306"/>
            </w:tabs>
          </w:pPr>
          <w:r>
            <w:rPr>
              <w:color w:val="auto"/>
              <w:highlight w:val="none"/>
            </w:rPr>
            <w:fldChar w:fldCharType="begin"/>
          </w:r>
          <w:r>
            <w:rPr>
              <w:highlight w:val="none"/>
            </w:rPr>
            <w:instrText xml:space="preserve"> HYPERLINK \l _Toc5831 </w:instrText>
          </w:r>
          <w:r>
            <w:rPr>
              <w:highlight w:val="none"/>
            </w:rPr>
            <w:fldChar w:fldCharType="separate"/>
          </w:r>
          <w:r>
            <w:rPr>
              <w:rFonts w:hint="default" w:ascii="Times New Roman" w:hAnsi="Times New Roman"/>
              <w:bCs/>
              <w:highlight w:val="none"/>
            </w:rPr>
            <w:t>4.4 说明</w:t>
          </w:r>
          <w:r>
            <w:tab/>
          </w:r>
          <w:r>
            <w:fldChar w:fldCharType="begin"/>
          </w:r>
          <w:r>
            <w:instrText xml:space="preserve"> PAGEREF _Toc5831 \h </w:instrText>
          </w:r>
          <w:r>
            <w:fldChar w:fldCharType="separate"/>
          </w:r>
          <w:r>
            <w:t>15</w:t>
          </w:r>
          <w:r>
            <w:fldChar w:fldCharType="end"/>
          </w:r>
          <w:r>
            <w:rPr>
              <w:color w:val="auto"/>
              <w:highlight w:val="none"/>
            </w:rPr>
            <w:fldChar w:fldCharType="end"/>
          </w:r>
        </w:p>
        <w:p>
          <w:pPr>
            <w:pStyle w:val="13"/>
            <w:tabs>
              <w:tab w:val="right" w:leader="dot" w:pos="8306"/>
            </w:tabs>
          </w:pPr>
          <w:r>
            <w:rPr>
              <w:color w:val="auto"/>
              <w:highlight w:val="none"/>
            </w:rPr>
            <w:fldChar w:fldCharType="begin"/>
          </w:r>
          <w:r>
            <w:rPr>
              <w:highlight w:val="none"/>
            </w:rPr>
            <w:instrText xml:space="preserve"> HYPERLINK \l _Toc29807 </w:instrText>
          </w:r>
          <w:r>
            <w:rPr>
              <w:highlight w:val="none"/>
            </w:rPr>
            <w:fldChar w:fldCharType="separate"/>
          </w:r>
          <w:r>
            <w:rPr>
              <w:rFonts w:hint="default" w:ascii="Times New Roman" w:hAnsi="Times New Roman"/>
              <w:szCs w:val="32"/>
              <w:highlight w:val="none"/>
              <w:lang w:eastAsia="zh-CN"/>
            </w:rPr>
            <w:t>5 本项目仪器设备采购清单</w:t>
          </w:r>
          <w:r>
            <w:tab/>
          </w:r>
          <w:r>
            <w:fldChar w:fldCharType="begin"/>
          </w:r>
          <w:r>
            <w:instrText xml:space="preserve"> PAGEREF _Toc29807 \h </w:instrText>
          </w:r>
          <w:r>
            <w:fldChar w:fldCharType="separate"/>
          </w:r>
          <w:r>
            <w:t>1</w:t>
          </w:r>
          <w:r>
            <w:fldChar w:fldCharType="end"/>
          </w:r>
          <w:r>
            <w:rPr>
              <w:color w:val="auto"/>
              <w:highlight w:val="none"/>
            </w:rPr>
            <w:fldChar w:fldCharType="end"/>
          </w:r>
        </w:p>
        <w:p>
          <w:pPr>
            <w:pStyle w:val="13"/>
            <w:tabs>
              <w:tab w:val="right" w:leader="dot" w:pos="8306"/>
            </w:tabs>
          </w:pPr>
          <w:r>
            <w:rPr>
              <w:color w:val="auto"/>
              <w:highlight w:val="none"/>
            </w:rPr>
            <w:fldChar w:fldCharType="begin"/>
          </w:r>
          <w:r>
            <w:rPr>
              <w:highlight w:val="none"/>
            </w:rPr>
            <w:instrText xml:space="preserve"> HYPERLINK \l _Toc18015 </w:instrText>
          </w:r>
          <w:r>
            <w:rPr>
              <w:highlight w:val="none"/>
            </w:rPr>
            <w:fldChar w:fldCharType="separate"/>
          </w:r>
          <w:r>
            <w:rPr>
              <w:rFonts w:hint="eastAsia"/>
              <w:bCs/>
              <w:szCs w:val="28"/>
              <w:highlight w:val="none"/>
            </w:rPr>
            <w:t xml:space="preserve">6 </w:t>
          </w:r>
          <w:r>
            <w:rPr>
              <w:rFonts w:hint="default" w:ascii="Times New Roman" w:hAnsi="Times New Roman" w:cs="Times New Roman"/>
              <w:bCs/>
              <w:szCs w:val="28"/>
              <w:highlight w:val="none"/>
              <w:lang w:val="en-US" w:eastAsia="zh-CN"/>
            </w:rPr>
            <w:t>阿贝尔（ABA４）闪点仪技术参数</w:t>
          </w:r>
          <w:r>
            <w:tab/>
          </w:r>
          <w:r>
            <w:fldChar w:fldCharType="begin"/>
          </w:r>
          <w:r>
            <w:instrText xml:space="preserve"> PAGEREF _Toc18015 \h </w:instrText>
          </w:r>
          <w:r>
            <w:fldChar w:fldCharType="separate"/>
          </w:r>
          <w:r>
            <w:t>2</w:t>
          </w:r>
          <w:r>
            <w:fldChar w:fldCharType="end"/>
          </w:r>
          <w:r>
            <w:rPr>
              <w:color w:val="auto"/>
              <w:highlight w:val="none"/>
            </w:rPr>
            <w:fldChar w:fldCharType="end"/>
          </w:r>
        </w:p>
        <w:p>
          <w:pPr>
            <w:adjustRightInd w:val="0"/>
            <w:snapToGrid w:val="0"/>
            <w:spacing w:line="360" w:lineRule="auto"/>
            <w:rPr>
              <w:color w:val="auto"/>
              <w:sz w:val="24"/>
              <w:highlight w:val="none"/>
            </w:rPr>
          </w:pPr>
          <w:r>
            <w:rPr>
              <w:color w:val="auto"/>
              <w:highlight w:val="none"/>
            </w:rPr>
            <w:fldChar w:fldCharType="end"/>
          </w:r>
        </w:p>
      </w:sdtContent>
    </w:sdt>
    <w:p>
      <w:pPr>
        <w:adjustRightInd w:val="0"/>
        <w:snapToGrid w:val="0"/>
        <w:spacing w:line="360" w:lineRule="auto"/>
        <w:rPr>
          <w:color w:val="auto"/>
          <w:sz w:val="24"/>
          <w:highlight w:val="none"/>
        </w:rPr>
      </w:pPr>
    </w:p>
    <w:p>
      <w:pPr>
        <w:adjustRightInd w:val="0"/>
        <w:snapToGrid w:val="0"/>
        <w:spacing w:line="360" w:lineRule="auto"/>
        <w:rPr>
          <w:color w:val="auto"/>
          <w:sz w:val="24"/>
          <w:highlight w:val="none"/>
        </w:rPr>
      </w:pPr>
    </w:p>
    <w:p>
      <w:pPr>
        <w:adjustRightInd w:val="0"/>
        <w:snapToGrid w:val="0"/>
        <w:spacing w:line="360" w:lineRule="auto"/>
        <w:rPr>
          <w:color w:val="auto"/>
          <w:sz w:val="24"/>
          <w:highlight w:val="none"/>
        </w:rPr>
      </w:pPr>
    </w:p>
    <w:p>
      <w:pPr>
        <w:adjustRightInd w:val="0"/>
        <w:snapToGrid w:val="0"/>
        <w:spacing w:line="360" w:lineRule="auto"/>
        <w:rPr>
          <w:color w:val="auto"/>
          <w:sz w:val="24"/>
          <w:highlight w:val="none"/>
        </w:rPr>
      </w:pPr>
    </w:p>
    <w:p>
      <w:pPr>
        <w:adjustRightInd w:val="0"/>
        <w:snapToGrid w:val="0"/>
        <w:spacing w:line="360" w:lineRule="auto"/>
        <w:rPr>
          <w:color w:val="auto"/>
          <w:sz w:val="24"/>
          <w:highlight w:val="none"/>
        </w:rPr>
      </w:pPr>
    </w:p>
    <w:p>
      <w:pPr>
        <w:adjustRightInd w:val="0"/>
        <w:snapToGrid w:val="0"/>
        <w:spacing w:line="360" w:lineRule="auto"/>
        <w:rPr>
          <w:color w:val="auto"/>
          <w:sz w:val="24"/>
          <w:highlight w:val="none"/>
        </w:rPr>
      </w:pPr>
    </w:p>
    <w:p>
      <w:pPr>
        <w:adjustRightInd w:val="0"/>
        <w:snapToGrid w:val="0"/>
        <w:spacing w:line="360" w:lineRule="auto"/>
        <w:rPr>
          <w:color w:val="auto"/>
          <w:sz w:val="24"/>
          <w:highlight w:val="none"/>
        </w:rPr>
      </w:pPr>
    </w:p>
    <w:p>
      <w:pPr>
        <w:pStyle w:val="2"/>
        <w:rPr>
          <w:rFonts w:ascii="Times New Roman" w:hAnsi="Times New Roman"/>
          <w:color w:val="auto"/>
          <w:sz w:val="24"/>
          <w:highlight w:val="none"/>
        </w:rPr>
      </w:pPr>
    </w:p>
    <w:p>
      <w:pPr>
        <w:pStyle w:val="2"/>
        <w:rPr>
          <w:rFonts w:ascii="Times New Roman" w:hAnsi="Times New Roman"/>
          <w:color w:val="auto"/>
          <w:sz w:val="24"/>
          <w:highlight w:val="none"/>
        </w:rPr>
      </w:pPr>
    </w:p>
    <w:p>
      <w:pPr>
        <w:pStyle w:val="2"/>
        <w:rPr>
          <w:rFonts w:ascii="Times New Roman" w:hAnsi="Times New Roman"/>
          <w:color w:val="auto"/>
          <w:sz w:val="24"/>
          <w:highlight w:val="none"/>
        </w:rPr>
      </w:pPr>
    </w:p>
    <w:p>
      <w:pPr>
        <w:pStyle w:val="2"/>
        <w:rPr>
          <w:rFonts w:ascii="Times New Roman" w:hAnsi="Times New Roman"/>
          <w:color w:val="auto"/>
          <w:sz w:val="24"/>
          <w:highlight w:val="none"/>
        </w:rPr>
      </w:pPr>
    </w:p>
    <w:p>
      <w:pPr>
        <w:pStyle w:val="2"/>
        <w:rPr>
          <w:rFonts w:ascii="Times New Roman" w:hAnsi="Times New Roman"/>
          <w:color w:val="auto"/>
          <w:sz w:val="24"/>
          <w:highlight w:val="none"/>
        </w:rPr>
      </w:pPr>
    </w:p>
    <w:p>
      <w:pPr>
        <w:pStyle w:val="2"/>
        <w:rPr>
          <w:rFonts w:ascii="Times New Roman" w:hAnsi="Times New Roman"/>
          <w:color w:val="auto"/>
          <w:sz w:val="24"/>
          <w:highlight w:val="none"/>
        </w:rPr>
      </w:pPr>
    </w:p>
    <w:p>
      <w:pPr>
        <w:pStyle w:val="2"/>
        <w:rPr>
          <w:rFonts w:ascii="Times New Roman" w:hAnsi="Times New Roman"/>
          <w:color w:val="auto"/>
          <w:sz w:val="24"/>
          <w:highlight w:val="none"/>
        </w:rPr>
      </w:pPr>
    </w:p>
    <w:p>
      <w:pPr>
        <w:pStyle w:val="2"/>
        <w:rPr>
          <w:rFonts w:ascii="Times New Roman" w:hAnsi="Times New Roman"/>
          <w:color w:val="auto"/>
          <w:sz w:val="24"/>
          <w:highlight w:val="none"/>
        </w:rPr>
      </w:pPr>
    </w:p>
    <w:p>
      <w:pPr>
        <w:adjustRightInd w:val="0"/>
        <w:snapToGrid w:val="0"/>
        <w:spacing w:line="360" w:lineRule="auto"/>
        <w:rPr>
          <w:color w:val="auto"/>
          <w:sz w:val="24"/>
          <w:highlight w:val="none"/>
        </w:rPr>
      </w:pPr>
    </w:p>
    <w:p>
      <w:pPr>
        <w:pStyle w:val="2"/>
        <w:rPr>
          <w:color w:val="auto"/>
          <w:sz w:val="24"/>
          <w:highlight w:val="none"/>
        </w:rPr>
      </w:pPr>
    </w:p>
    <w:p>
      <w:pPr>
        <w:pStyle w:val="2"/>
        <w:rPr>
          <w:color w:val="auto"/>
          <w:sz w:val="24"/>
          <w:highlight w:val="none"/>
        </w:rPr>
      </w:pPr>
    </w:p>
    <w:p>
      <w:pPr>
        <w:pStyle w:val="2"/>
        <w:rPr>
          <w:color w:val="auto"/>
          <w:sz w:val="24"/>
          <w:highlight w:val="none"/>
        </w:rPr>
      </w:pPr>
    </w:p>
    <w:p>
      <w:pPr>
        <w:pStyle w:val="2"/>
        <w:rPr>
          <w:color w:val="auto"/>
          <w:sz w:val="24"/>
          <w:highlight w:val="none"/>
        </w:rPr>
      </w:pPr>
    </w:p>
    <w:p>
      <w:pPr>
        <w:pStyle w:val="2"/>
        <w:rPr>
          <w:rFonts w:ascii="Times New Roman" w:hAnsi="Times New Roman"/>
        </w:rPr>
      </w:pPr>
    </w:p>
    <w:p>
      <w:pPr>
        <w:pStyle w:val="4"/>
        <w:ind w:left="0"/>
        <w:jc w:val="both"/>
        <w:rPr>
          <w:rFonts w:ascii="Times New Roman" w:hAnsi="Times New Roman" w:cs="Times New Roman"/>
          <w:color w:val="auto"/>
          <w:sz w:val="32"/>
          <w:szCs w:val="32"/>
          <w:highlight w:val="none"/>
          <w:lang w:eastAsia="zh-CN"/>
        </w:rPr>
      </w:pPr>
      <w:bookmarkStart w:id="15" w:name="_Toc15608"/>
      <w:r>
        <w:rPr>
          <w:rFonts w:hint="default" w:ascii="Times New Roman" w:hAnsi="Times New Roman" w:cs="Times New Roman"/>
          <w:color w:val="auto"/>
          <w:sz w:val="32"/>
          <w:szCs w:val="32"/>
          <w:highlight w:val="none"/>
          <w:lang w:eastAsia="zh-CN"/>
        </w:rPr>
        <w:t>1 项目概况</w:t>
      </w:r>
      <w:bookmarkEnd w:id="15"/>
    </w:p>
    <w:p>
      <w:pPr>
        <w:adjustRightInd w:val="0"/>
        <w:snapToGrid w:val="0"/>
        <w:spacing w:line="360" w:lineRule="auto"/>
        <w:rPr>
          <w:color w:val="auto"/>
          <w:sz w:val="24"/>
          <w:highlight w:val="none"/>
        </w:rPr>
      </w:pPr>
      <w:r>
        <w:rPr>
          <w:rFonts w:hint="eastAsia"/>
          <w:b/>
          <w:bCs/>
          <w:color w:val="auto"/>
          <w:sz w:val="24"/>
          <w:highlight w:val="none"/>
        </w:rPr>
        <w:t xml:space="preserve">1.1 </w:t>
      </w:r>
      <w:r>
        <w:rPr>
          <w:b/>
          <w:bCs/>
          <w:color w:val="auto"/>
          <w:sz w:val="24"/>
          <w:highlight w:val="none"/>
        </w:rPr>
        <w:t>项目名称：</w:t>
      </w:r>
      <w:r>
        <w:rPr>
          <w:color w:val="auto"/>
          <w:sz w:val="24"/>
          <w:highlight w:val="none"/>
        </w:rPr>
        <w:t>东莞市海心沙资源综合利用中心绿色工业服务项目</w:t>
      </w:r>
      <w:r>
        <w:rPr>
          <w:rFonts w:hint="eastAsia"/>
          <w:color w:val="auto"/>
          <w:sz w:val="24"/>
          <w:highlight w:val="none"/>
          <w:lang w:val="en-US" w:eastAsia="zh-CN"/>
        </w:rPr>
        <w:t>检测中心阿贝尔（ABA4）闪点仪采购</w:t>
      </w:r>
      <w:r>
        <w:rPr>
          <w:rFonts w:hint="eastAsia"/>
          <w:color w:val="auto"/>
          <w:sz w:val="24"/>
          <w:highlight w:val="none"/>
        </w:rPr>
        <w:t>，包括货物的供货、运输、安装、调试、培训及售后服务等。</w:t>
      </w:r>
    </w:p>
    <w:p>
      <w:pPr>
        <w:adjustRightInd w:val="0"/>
        <w:snapToGrid w:val="0"/>
        <w:spacing w:line="360" w:lineRule="auto"/>
        <w:rPr>
          <w:color w:val="auto"/>
          <w:sz w:val="24"/>
          <w:highlight w:val="none"/>
        </w:rPr>
      </w:pPr>
      <w:r>
        <w:rPr>
          <w:rFonts w:hint="eastAsia"/>
          <w:b/>
          <w:bCs/>
          <w:color w:val="auto"/>
          <w:sz w:val="24"/>
          <w:highlight w:val="none"/>
        </w:rPr>
        <w:t xml:space="preserve">1.2 </w:t>
      </w:r>
      <w:r>
        <w:rPr>
          <w:b/>
          <w:bCs/>
          <w:color w:val="auto"/>
          <w:sz w:val="24"/>
          <w:highlight w:val="none"/>
        </w:rPr>
        <w:t>项目业主：</w:t>
      </w:r>
      <w:r>
        <w:rPr>
          <w:color w:val="auto"/>
          <w:sz w:val="24"/>
          <w:highlight w:val="none"/>
        </w:rPr>
        <w:t>东莞市</w:t>
      </w:r>
      <w:r>
        <w:rPr>
          <w:rFonts w:hint="eastAsia"/>
          <w:color w:val="auto"/>
          <w:sz w:val="24"/>
          <w:highlight w:val="none"/>
        </w:rPr>
        <w:t>新东欣环保投资</w:t>
      </w:r>
      <w:r>
        <w:rPr>
          <w:color w:val="auto"/>
          <w:sz w:val="24"/>
          <w:highlight w:val="none"/>
        </w:rPr>
        <w:t>有限公司</w:t>
      </w:r>
      <w:r>
        <w:rPr>
          <w:rFonts w:hint="eastAsia"/>
          <w:color w:val="auto"/>
          <w:sz w:val="24"/>
          <w:highlight w:val="none"/>
        </w:rPr>
        <w:t>。</w:t>
      </w:r>
    </w:p>
    <w:p>
      <w:pPr>
        <w:adjustRightInd w:val="0"/>
        <w:snapToGrid w:val="0"/>
        <w:spacing w:line="360" w:lineRule="auto"/>
        <w:rPr>
          <w:color w:val="auto"/>
          <w:sz w:val="24"/>
          <w:highlight w:val="none"/>
        </w:rPr>
      </w:pPr>
      <w:r>
        <w:rPr>
          <w:rFonts w:hint="eastAsia"/>
          <w:b/>
          <w:bCs/>
          <w:color w:val="auto"/>
          <w:sz w:val="24"/>
          <w:highlight w:val="none"/>
        </w:rPr>
        <w:t>1.3 项目地</w:t>
      </w:r>
      <w:r>
        <w:rPr>
          <w:b/>
          <w:bCs/>
          <w:color w:val="auto"/>
          <w:sz w:val="24"/>
          <w:highlight w:val="none"/>
        </w:rPr>
        <w:t>址：</w:t>
      </w:r>
      <w:r>
        <w:rPr>
          <w:rFonts w:hint="eastAsia"/>
          <w:color w:val="auto"/>
          <w:sz w:val="24"/>
          <w:highlight w:val="none"/>
        </w:rPr>
        <w:t>东莞市麻涌镇大步村海心沙岛</w:t>
      </w:r>
      <w:r>
        <w:rPr>
          <w:rFonts w:hint="eastAsia"/>
          <w:color w:val="auto"/>
          <w:sz w:val="24"/>
          <w:highlight w:val="none"/>
          <w:lang w:val="en-US" w:eastAsia="zh-CN"/>
        </w:rPr>
        <w:t>检测中心大楼</w:t>
      </w:r>
      <w:r>
        <w:rPr>
          <w:rFonts w:hint="eastAsia"/>
          <w:color w:val="auto"/>
          <w:sz w:val="24"/>
          <w:highlight w:val="none"/>
        </w:rPr>
        <w:t>。</w:t>
      </w:r>
    </w:p>
    <w:p>
      <w:pPr>
        <w:pStyle w:val="4"/>
        <w:ind w:left="0"/>
        <w:jc w:val="both"/>
        <w:rPr>
          <w:rFonts w:ascii="Times New Roman" w:hAnsi="Times New Roman" w:cs="Times New Roman"/>
          <w:color w:val="auto"/>
          <w:sz w:val="32"/>
          <w:szCs w:val="32"/>
          <w:highlight w:val="none"/>
          <w:lang w:eastAsia="zh-CN"/>
        </w:rPr>
      </w:pPr>
      <w:bookmarkStart w:id="16" w:name="_Toc29427"/>
      <w:r>
        <w:rPr>
          <w:rFonts w:hint="default" w:ascii="Times New Roman" w:hAnsi="Times New Roman" w:cs="Times New Roman"/>
          <w:color w:val="auto"/>
          <w:sz w:val="32"/>
          <w:szCs w:val="32"/>
          <w:highlight w:val="none"/>
          <w:lang w:eastAsia="zh-CN"/>
        </w:rPr>
        <w:t>2 采购范围</w:t>
      </w:r>
      <w:bookmarkEnd w:id="16"/>
    </w:p>
    <w:p>
      <w:pPr>
        <w:adjustRightInd w:val="0"/>
        <w:snapToGrid w:val="0"/>
        <w:spacing w:line="360" w:lineRule="auto"/>
        <w:rPr>
          <w:color w:val="auto"/>
          <w:sz w:val="24"/>
          <w:highlight w:val="none"/>
        </w:rPr>
      </w:pPr>
      <w:r>
        <w:rPr>
          <w:rFonts w:hint="eastAsia"/>
          <w:b/>
          <w:bCs/>
          <w:color w:val="auto"/>
          <w:sz w:val="24"/>
          <w:highlight w:val="none"/>
        </w:rPr>
        <w:t>2.1 采购范围：</w:t>
      </w:r>
      <w:r>
        <w:rPr>
          <w:color w:val="auto"/>
          <w:sz w:val="24"/>
          <w:highlight w:val="none"/>
        </w:rPr>
        <w:t>本次</w:t>
      </w:r>
      <w:r>
        <w:rPr>
          <w:rFonts w:hint="eastAsia"/>
          <w:color w:val="auto"/>
          <w:sz w:val="24"/>
          <w:highlight w:val="none"/>
        </w:rPr>
        <w:t>项目</w:t>
      </w:r>
      <w:r>
        <w:rPr>
          <w:color w:val="auto"/>
          <w:sz w:val="24"/>
          <w:highlight w:val="none"/>
        </w:rPr>
        <w:t>的采购范围包含</w:t>
      </w:r>
      <w:r>
        <w:rPr>
          <w:rFonts w:hint="eastAsia"/>
          <w:color w:val="auto"/>
          <w:sz w:val="24"/>
          <w:highlight w:val="none"/>
        </w:rPr>
        <w:t>仪器设备需求清单中的实验仪器采购、保管、安装、调试、操作技术指导及相应的售后服务工作。</w:t>
      </w:r>
    </w:p>
    <w:p>
      <w:pPr>
        <w:adjustRightInd w:val="0"/>
        <w:snapToGrid w:val="0"/>
        <w:spacing w:line="360" w:lineRule="auto"/>
        <w:rPr>
          <w:rFonts w:hint="eastAsia"/>
          <w:color w:val="auto"/>
          <w:sz w:val="24"/>
          <w:highlight w:val="none"/>
        </w:rPr>
      </w:pPr>
      <w:r>
        <w:rPr>
          <w:rFonts w:hint="eastAsia"/>
          <w:b/>
          <w:bCs/>
          <w:color w:val="auto"/>
          <w:sz w:val="24"/>
          <w:highlight w:val="none"/>
        </w:rPr>
        <w:t>2.2 交货方式：</w:t>
      </w:r>
      <w:r>
        <w:rPr>
          <w:rFonts w:hint="eastAsia"/>
          <w:b w:val="0"/>
          <w:bCs w:val="0"/>
          <w:color w:val="auto"/>
          <w:sz w:val="24"/>
          <w:highlight w:val="none"/>
          <w:lang w:val="en-US" w:eastAsia="zh-CN"/>
        </w:rPr>
        <w:t>成交人</w:t>
      </w:r>
      <w:r>
        <w:rPr>
          <w:rFonts w:hint="eastAsia"/>
          <w:color w:val="auto"/>
          <w:sz w:val="24"/>
          <w:highlight w:val="none"/>
        </w:rPr>
        <w:t>送货至</w:t>
      </w:r>
      <w:r>
        <w:rPr>
          <w:rFonts w:hint="eastAsia"/>
          <w:color w:val="auto"/>
          <w:sz w:val="24"/>
          <w:highlight w:val="none"/>
          <w:lang w:val="en-US" w:eastAsia="zh-CN"/>
        </w:rPr>
        <w:t>采购人</w:t>
      </w:r>
      <w:r>
        <w:rPr>
          <w:rFonts w:hint="eastAsia"/>
          <w:color w:val="auto"/>
          <w:sz w:val="24"/>
          <w:highlight w:val="none"/>
        </w:rPr>
        <w:t>指定地点。</w:t>
      </w:r>
    </w:p>
    <w:p>
      <w:pPr>
        <w:adjustRightInd w:val="0"/>
        <w:snapToGrid w:val="0"/>
        <w:spacing w:line="360" w:lineRule="auto"/>
        <w:rPr>
          <w:color w:val="auto"/>
          <w:sz w:val="24"/>
          <w:highlight w:val="none"/>
        </w:rPr>
      </w:pPr>
      <w:r>
        <w:rPr>
          <w:rFonts w:hint="eastAsia"/>
          <w:color w:val="auto"/>
          <w:sz w:val="24"/>
          <w:highlight w:val="none"/>
        </w:rPr>
        <w:t>交货地点：东莞市麻涌镇大步村海心沙岛</w:t>
      </w:r>
      <w:r>
        <w:rPr>
          <w:rFonts w:hint="eastAsia"/>
          <w:color w:val="auto"/>
          <w:sz w:val="24"/>
          <w:highlight w:val="none"/>
          <w:lang w:val="en-US" w:eastAsia="zh-CN"/>
        </w:rPr>
        <w:t>检测中心大楼</w:t>
      </w:r>
      <w:r>
        <w:rPr>
          <w:rFonts w:hint="eastAsia"/>
          <w:color w:val="auto"/>
          <w:sz w:val="24"/>
          <w:highlight w:val="none"/>
        </w:rPr>
        <w:t>。</w:t>
      </w:r>
    </w:p>
    <w:p>
      <w:pPr>
        <w:pStyle w:val="4"/>
        <w:ind w:left="0"/>
        <w:jc w:val="both"/>
        <w:rPr>
          <w:rFonts w:ascii="Times New Roman" w:hAnsi="Times New Roman" w:cs="Times New Roman"/>
          <w:color w:val="auto"/>
          <w:sz w:val="32"/>
          <w:szCs w:val="32"/>
          <w:highlight w:val="none"/>
          <w:lang w:eastAsia="zh-CN"/>
        </w:rPr>
      </w:pPr>
      <w:bookmarkStart w:id="17" w:name="_Toc15736"/>
      <w:r>
        <w:rPr>
          <w:rFonts w:hint="default" w:ascii="Times New Roman" w:hAnsi="Times New Roman" w:cs="Times New Roman"/>
          <w:color w:val="auto"/>
          <w:sz w:val="32"/>
          <w:szCs w:val="32"/>
          <w:highlight w:val="none"/>
          <w:lang w:eastAsia="zh-CN"/>
        </w:rPr>
        <w:t>3 项目进度要求</w:t>
      </w:r>
      <w:bookmarkEnd w:id="17"/>
    </w:p>
    <w:p>
      <w:pPr>
        <w:adjustRightInd w:val="0"/>
        <w:snapToGrid w:val="0"/>
        <w:spacing w:line="360" w:lineRule="auto"/>
        <w:ind w:firstLine="480" w:firstLineChars="200"/>
        <w:rPr>
          <w:color w:val="auto"/>
          <w:sz w:val="24"/>
          <w:highlight w:val="none"/>
        </w:rPr>
      </w:pPr>
      <w:r>
        <w:rPr>
          <w:rFonts w:hint="eastAsia"/>
          <w:color w:val="auto"/>
          <w:sz w:val="24"/>
          <w:highlight w:val="none"/>
        </w:rPr>
        <w:t>合同签订后，</w:t>
      </w:r>
      <w:r>
        <w:rPr>
          <w:rFonts w:hint="default" w:ascii="Times New Roman" w:hAnsi="Times New Roman"/>
          <w:color w:val="auto"/>
          <w:sz w:val="24"/>
          <w:highlight w:val="none"/>
        </w:rPr>
        <w:t>接</w:t>
      </w:r>
      <w:r>
        <w:rPr>
          <w:rFonts w:hint="default" w:ascii="Times New Roman" w:hAnsi="Times New Roman"/>
          <w:color w:val="auto"/>
          <w:sz w:val="24"/>
          <w:highlight w:val="none"/>
          <w:lang w:val="en-US" w:eastAsia="zh-CN"/>
        </w:rPr>
        <w:t>采购人结果确认函</w:t>
      </w:r>
      <w:r>
        <w:rPr>
          <w:rFonts w:hint="default" w:ascii="Times New Roman" w:hAnsi="Times New Roman"/>
          <w:color w:val="auto"/>
          <w:sz w:val="24"/>
          <w:highlight w:val="none"/>
        </w:rPr>
        <w:t>之日起</w:t>
      </w:r>
      <w:r>
        <w:rPr>
          <w:rFonts w:hint="eastAsia"/>
          <w:color w:val="auto"/>
          <w:sz w:val="24"/>
          <w:highlight w:val="none"/>
          <w:lang w:val="en-US" w:eastAsia="zh-CN"/>
        </w:rPr>
        <w:t>9</w:t>
      </w:r>
      <w:r>
        <w:rPr>
          <w:rFonts w:hint="default" w:ascii="Times New Roman" w:hAnsi="Times New Roman"/>
          <w:color w:val="auto"/>
          <w:sz w:val="24"/>
          <w:highlight w:val="none"/>
        </w:rPr>
        <w:t>0</w:t>
      </w:r>
      <w:r>
        <w:rPr>
          <w:rFonts w:hint="default" w:ascii="Times New Roman" w:hAnsi="Times New Roman"/>
          <w:color w:val="auto"/>
          <w:sz w:val="24"/>
          <w:highlight w:val="none"/>
          <w:lang w:val="en-US" w:eastAsia="zh-CN"/>
        </w:rPr>
        <w:t>个日历</w:t>
      </w:r>
      <w:r>
        <w:rPr>
          <w:rFonts w:hint="default" w:ascii="Times New Roman" w:hAnsi="Times New Roman"/>
          <w:color w:val="auto"/>
          <w:sz w:val="24"/>
          <w:highlight w:val="none"/>
        </w:rPr>
        <w:t>日内完成交货</w:t>
      </w:r>
      <w:r>
        <w:rPr>
          <w:rFonts w:hint="default" w:ascii="Times New Roman" w:hAnsi="Times New Roman"/>
          <w:color w:val="auto"/>
          <w:sz w:val="24"/>
          <w:highlight w:val="none"/>
          <w:lang w:val="en-US" w:eastAsia="zh-CN"/>
        </w:rPr>
        <w:t>和安装验收</w:t>
      </w:r>
      <w:r>
        <w:rPr>
          <w:rFonts w:hint="eastAsia"/>
          <w:color w:val="auto"/>
          <w:sz w:val="24"/>
          <w:highlight w:val="none"/>
        </w:rPr>
        <w:t>。</w:t>
      </w:r>
    </w:p>
    <w:p>
      <w:pPr>
        <w:pStyle w:val="4"/>
        <w:ind w:left="0"/>
        <w:jc w:val="left"/>
        <w:rPr>
          <w:rFonts w:ascii="Times New Roman" w:hAnsi="Times New Roman" w:cs="Times New Roman"/>
          <w:b w:val="0"/>
          <w:color w:val="auto"/>
          <w:sz w:val="32"/>
          <w:szCs w:val="32"/>
          <w:highlight w:val="none"/>
          <w:lang w:eastAsia="zh-CN"/>
        </w:rPr>
      </w:pPr>
      <w:bookmarkStart w:id="18" w:name="_Toc12087"/>
      <w:r>
        <w:rPr>
          <w:rFonts w:hint="default" w:ascii="Times New Roman" w:hAnsi="Times New Roman" w:cs="Times New Roman"/>
          <w:color w:val="auto"/>
          <w:sz w:val="32"/>
          <w:szCs w:val="32"/>
          <w:highlight w:val="none"/>
          <w:lang w:eastAsia="zh-CN"/>
        </w:rPr>
        <w:t>4</w:t>
      </w:r>
      <w:r>
        <w:rPr>
          <w:rFonts w:ascii="Times New Roman" w:hAnsi="Times New Roman" w:cs="Times New Roman"/>
          <w:color w:val="auto"/>
          <w:sz w:val="32"/>
          <w:szCs w:val="32"/>
          <w:highlight w:val="none"/>
          <w:lang w:eastAsia="zh-CN"/>
        </w:rPr>
        <w:t xml:space="preserve"> </w:t>
      </w:r>
      <w:r>
        <w:rPr>
          <w:rFonts w:hint="default" w:ascii="Times New Roman" w:hAnsi="Times New Roman" w:cs="Times New Roman"/>
          <w:color w:val="auto"/>
          <w:sz w:val="32"/>
          <w:szCs w:val="32"/>
          <w:highlight w:val="none"/>
          <w:lang w:eastAsia="zh-CN"/>
        </w:rPr>
        <w:t>项目要求</w:t>
      </w:r>
      <w:bookmarkEnd w:id="18"/>
    </w:p>
    <w:p>
      <w:pPr>
        <w:pStyle w:val="9"/>
        <w:tabs>
          <w:tab w:val="left" w:pos="420"/>
        </w:tabs>
        <w:adjustRightInd w:val="0"/>
        <w:snapToGrid w:val="0"/>
        <w:spacing w:line="360" w:lineRule="auto"/>
        <w:outlineLvl w:val="1"/>
        <w:rPr>
          <w:rFonts w:ascii="Times New Roman" w:hAnsi="Times New Roman" w:cs="Times New Roman"/>
          <w:b/>
          <w:bCs/>
          <w:color w:val="auto"/>
          <w:sz w:val="24"/>
          <w:highlight w:val="none"/>
        </w:rPr>
      </w:pPr>
      <w:bookmarkStart w:id="19" w:name="_Toc25088"/>
      <w:r>
        <w:rPr>
          <w:rFonts w:hint="default" w:ascii="Times New Roman" w:hAnsi="Times New Roman" w:cs="Times New Roman"/>
          <w:b/>
          <w:bCs/>
          <w:color w:val="auto"/>
          <w:sz w:val="24"/>
          <w:highlight w:val="none"/>
        </w:rPr>
        <w:t>4.1 供货要求</w:t>
      </w:r>
      <w:bookmarkEnd w:id="19"/>
    </w:p>
    <w:p>
      <w:pPr>
        <w:pStyle w:val="9"/>
        <w:numPr>
          <w:ilvl w:val="0"/>
          <w:numId w:val="3"/>
        </w:numPr>
        <w:adjustRightInd w:val="0"/>
        <w:snapToGrid w:val="0"/>
        <w:spacing w:line="360" w:lineRule="auto"/>
        <w:ind w:left="5" w:hanging="5"/>
        <w:rPr>
          <w:rFonts w:ascii="Times New Roman" w:hAnsi="Times New Roman" w:cs="Times New Roman"/>
          <w:color w:val="auto"/>
          <w:sz w:val="24"/>
          <w:highlight w:val="none"/>
        </w:rPr>
      </w:pPr>
      <w:r>
        <w:rPr>
          <w:rFonts w:ascii="Times New Roman" w:hAnsi="Times New Roman" w:cs="Times New Roman"/>
          <w:color w:val="auto"/>
          <w:sz w:val="24"/>
          <w:highlight w:val="none"/>
        </w:rPr>
        <w:t>本</w:t>
      </w:r>
      <w:r>
        <w:rPr>
          <w:rFonts w:hint="default" w:ascii="Times New Roman" w:hAnsi="Times New Roman" w:cs="Times New Roman"/>
          <w:color w:val="auto"/>
          <w:sz w:val="24"/>
          <w:highlight w:val="none"/>
          <w:lang w:val="en-US" w:eastAsia="zh-CN"/>
        </w:rPr>
        <w:t>询价</w:t>
      </w:r>
      <w:r>
        <w:rPr>
          <w:rFonts w:ascii="Times New Roman" w:hAnsi="Times New Roman" w:cs="Times New Roman"/>
          <w:color w:val="auto"/>
          <w:sz w:val="24"/>
          <w:highlight w:val="none"/>
        </w:rPr>
        <w:t>文件所提出的是最低限度的技术要求，并未对一切技术细节作出规定，也未充分引述有关标准和规范条文，</w:t>
      </w:r>
      <w:r>
        <w:rPr>
          <w:rFonts w:hint="default" w:ascii="Times New Roman" w:hAnsi="Times New Roman" w:cs="Times New Roman"/>
          <w:color w:val="auto"/>
          <w:sz w:val="24"/>
          <w:highlight w:val="none"/>
          <w:lang w:val="en-US" w:eastAsia="zh-CN"/>
        </w:rPr>
        <w:t>报价人</w:t>
      </w:r>
      <w:r>
        <w:rPr>
          <w:rFonts w:ascii="Times New Roman" w:hAnsi="Times New Roman" w:cs="Times New Roman"/>
          <w:color w:val="auto"/>
          <w:sz w:val="24"/>
          <w:highlight w:val="none"/>
        </w:rPr>
        <w:t>应保证提供符合国家标准、相关国际标准和本规范要求的优质产品及其相应的服务。对国家有关安全、环保等强制性标准，均能满足其要求。</w:t>
      </w:r>
    </w:p>
    <w:p>
      <w:pPr>
        <w:pStyle w:val="9"/>
        <w:numPr>
          <w:ilvl w:val="0"/>
          <w:numId w:val="3"/>
        </w:numPr>
        <w:adjustRightInd w:val="0"/>
        <w:snapToGrid w:val="0"/>
        <w:spacing w:line="360" w:lineRule="auto"/>
        <w:ind w:left="5" w:hanging="5"/>
        <w:rPr>
          <w:rFonts w:ascii="Times New Roman" w:hAnsi="Times New Roman" w:cs="Times New Roman"/>
          <w:color w:val="auto"/>
          <w:sz w:val="24"/>
          <w:highlight w:val="none"/>
        </w:rPr>
      </w:pPr>
      <w:r>
        <w:rPr>
          <w:rFonts w:hint="default" w:ascii="Times New Roman" w:hAnsi="Times New Roman" w:cs="Times New Roman"/>
          <w:color w:val="auto"/>
          <w:sz w:val="24"/>
          <w:highlight w:val="none"/>
          <w:lang w:val="en-US" w:eastAsia="zh-CN"/>
        </w:rPr>
        <w:t>报价人</w:t>
      </w:r>
      <w:r>
        <w:rPr>
          <w:rFonts w:ascii="Times New Roman" w:hAnsi="Times New Roman" w:cs="Times New Roman"/>
          <w:color w:val="auto"/>
          <w:sz w:val="24"/>
          <w:highlight w:val="none"/>
        </w:rPr>
        <w:t>报价所选用的</w:t>
      </w:r>
      <w:r>
        <w:rPr>
          <w:rFonts w:hint="default" w:ascii="Times New Roman" w:hAnsi="Times New Roman" w:cs="Times New Roman"/>
          <w:color w:val="auto"/>
          <w:sz w:val="24"/>
          <w:highlight w:val="none"/>
        </w:rPr>
        <w:t>产品</w:t>
      </w:r>
      <w:r>
        <w:rPr>
          <w:rFonts w:ascii="Times New Roman" w:hAnsi="Times New Roman" w:cs="Times New Roman"/>
          <w:color w:val="auto"/>
          <w:sz w:val="24"/>
          <w:highlight w:val="none"/>
        </w:rPr>
        <w:t>应</w:t>
      </w:r>
      <w:r>
        <w:rPr>
          <w:rFonts w:hint="default" w:ascii="Times New Roman" w:hAnsi="Times New Roman" w:cs="Times New Roman"/>
          <w:color w:val="auto"/>
          <w:sz w:val="24"/>
          <w:highlight w:val="none"/>
        </w:rPr>
        <w:t>稳定</w:t>
      </w:r>
      <w:r>
        <w:rPr>
          <w:rFonts w:ascii="Times New Roman" w:hAnsi="Times New Roman" w:cs="Times New Roman"/>
          <w:color w:val="auto"/>
          <w:sz w:val="24"/>
          <w:highlight w:val="none"/>
        </w:rPr>
        <w:t>可靠。且在</w:t>
      </w:r>
      <w:r>
        <w:rPr>
          <w:rFonts w:hint="default" w:ascii="Times New Roman" w:hAnsi="Times New Roman" w:cs="Times New Roman"/>
          <w:color w:val="auto"/>
          <w:sz w:val="24"/>
          <w:highlight w:val="none"/>
        </w:rPr>
        <w:t>实例</w:t>
      </w:r>
      <w:r>
        <w:rPr>
          <w:rFonts w:ascii="Times New Roman" w:hAnsi="Times New Roman" w:cs="Times New Roman"/>
          <w:color w:val="auto"/>
          <w:sz w:val="24"/>
          <w:highlight w:val="none"/>
        </w:rPr>
        <w:t>中证明是先进可靠的，能保证</w:t>
      </w:r>
      <w:r>
        <w:rPr>
          <w:rFonts w:hint="default" w:ascii="Times New Roman" w:hAnsi="Times New Roman" w:cs="Times New Roman"/>
          <w:color w:val="auto"/>
          <w:sz w:val="24"/>
          <w:highlight w:val="none"/>
        </w:rPr>
        <w:t>满足</w:t>
      </w:r>
      <w:r>
        <w:rPr>
          <w:rFonts w:ascii="Times New Roman" w:hAnsi="Times New Roman" w:cs="Times New Roman"/>
          <w:color w:val="auto"/>
          <w:sz w:val="24"/>
          <w:highlight w:val="none"/>
        </w:rPr>
        <w:t>长周期</w:t>
      </w:r>
      <w:r>
        <w:rPr>
          <w:rFonts w:hint="default" w:ascii="Times New Roman" w:hAnsi="Times New Roman" w:cs="Times New Roman"/>
          <w:color w:val="auto"/>
          <w:sz w:val="24"/>
          <w:highlight w:val="none"/>
        </w:rPr>
        <w:t>的</w:t>
      </w:r>
      <w:r>
        <w:rPr>
          <w:rFonts w:ascii="Times New Roman" w:hAnsi="Times New Roman" w:cs="Times New Roman"/>
          <w:color w:val="auto"/>
          <w:sz w:val="24"/>
          <w:highlight w:val="none"/>
        </w:rPr>
        <w:t>稳定运行。</w:t>
      </w:r>
    </w:p>
    <w:p>
      <w:pPr>
        <w:pStyle w:val="9"/>
        <w:numPr>
          <w:ilvl w:val="0"/>
          <w:numId w:val="3"/>
        </w:numPr>
        <w:adjustRightInd w:val="0"/>
        <w:snapToGrid w:val="0"/>
        <w:spacing w:line="360" w:lineRule="auto"/>
        <w:ind w:left="5" w:hanging="5"/>
        <w:rPr>
          <w:rFonts w:ascii="Times New Roman" w:hAnsi="Times New Roman" w:cs="Times New Roman"/>
          <w:color w:val="auto"/>
          <w:sz w:val="24"/>
          <w:highlight w:val="none"/>
        </w:rPr>
      </w:pPr>
      <w:r>
        <w:rPr>
          <w:rFonts w:hint="default" w:ascii="Times New Roman" w:hAnsi="Times New Roman" w:cs="Times New Roman"/>
          <w:color w:val="auto"/>
          <w:sz w:val="24"/>
          <w:highlight w:val="none"/>
          <w:lang w:val="en-US" w:eastAsia="zh-CN"/>
        </w:rPr>
        <w:t>报价人</w:t>
      </w:r>
      <w:r>
        <w:rPr>
          <w:rFonts w:ascii="Times New Roman" w:hAnsi="Times New Roman" w:cs="Times New Roman"/>
          <w:color w:val="auto"/>
          <w:sz w:val="24"/>
          <w:highlight w:val="none"/>
        </w:rPr>
        <w:t>须是具有独立法人资格，具有代理</w:t>
      </w:r>
      <w:r>
        <w:rPr>
          <w:rFonts w:hint="default" w:ascii="Times New Roman" w:hAnsi="Times New Roman" w:cs="Times New Roman"/>
          <w:color w:val="auto"/>
          <w:sz w:val="24"/>
          <w:highlight w:val="none"/>
        </w:rPr>
        <w:t>相关业务的业绩</w:t>
      </w:r>
      <w:r>
        <w:rPr>
          <w:rFonts w:hint="default" w:ascii="Times New Roman" w:hAnsi="Times New Roman" w:cs="Times New Roman"/>
          <w:color w:val="auto"/>
          <w:sz w:val="24"/>
          <w:highlight w:val="none"/>
          <w:lang w:val="en-US" w:eastAsia="zh-CN"/>
        </w:rPr>
        <w:t>和授权证明</w:t>
      </w:r>
      <w:r>
        <w:rPr>
          <w:rFonts w:hint="default" w:ascii="Times New Roman" w:hAnsi="Times New Roman" w:cs="Times New Roman"/>
          <w:color w:val="auto"/>
          <w:sz w:val="24"/>
          <w:highlight w:val="none"/>
        </w:rPr>
        <w:t>，具有相应售后服务的能力</w:t>
      </w:r>
      <w:r>
        <w:rPr>
          <w:rFonts w:ascii="Times New Roman" w:hAnsi="Times New Roman" w:cs="Times New Roman"/>
          <w:color w:val="auto"/>
          <w:sz w:val="24"/>
          <w:highlight w:val="none"/>
        </w:rPr>
        <w:t>。</w:t>
      </w:r>
    </w:p>
    <w:p>
      <w:pPr>
        <w:pStyle w:val="9"/>
        <w:numPr>
          <w:ilvl w:val="0"/>
          <w:numId w:val="3"/>
        </w:numPr>
        <w:adjustRightInd w:val="0"/>
        <w:snapToGrid w:val="0"/>
        <w:spacing w:line="360" w:lineRule="auto"/>
        <w:ind w:left="5" w:hanging="5"/>
        <w:rPr>
          <w:rFonts w:ascii="Times New Roman" w:hAnsi="Times New Roman" w:cs="Times New Roman"/>
          <w:color w:val="auto"/>
          <w:sz w:val="24"/>
          <w:highlight w:val="none"/>
        </w:rPr>
      </w:pPr>
      <w:r>
        <w:rPr>
          <w:rFonts w:ascii="Times New Roman" w:hAnsi="Times New Roman" w:cs="Times New Roman"/>
          <w:color w:val="auto"/>
          <w:sz w:val="24"/>
          <w:highlight w:val="none"/>
        </w:rPr>
        <w:t>本</w:t>
      </w:r>
      <w:r>
        <w:rPr>
          <w:rFonts w:hint="default" w:ascii="Times New Roman" w:hAnsi="Times New Roman" w:cs="Times New Roman"/>
          <w:color w:val="auto"/>
          <w:sz w:val="24"/>
          <w:highlight w:val="none"/>
          <w:lang w:val="en-US" w:eastAsia="zh-CN"/>
        </w:rPr>
        <w:t>询价</w:t>
      </w:r>
      <w:r>
        <w:rPr>
          <w:rFonts w:ascii="Times New Roman" w:hAnsi="Times New Roman" w:cs="Times New Roman"/>
          <w:color w:val="auto"/>
          <w:sz w:val="24"/>
          <w:highlight w:val="none"/>
        </w:rPr>
        <w:t>文件所引用的标准</w:t>
      </w:r>
      <w:r>
        <w:rPr>
          <w:rFonts w:hint="default" w:ascii="Times New Roman" w:hAnsi="Times New Roman" w:cs="Times New Roman"/>
          <w:color w:val="auto"/>
          <w:sz w:val="24"/>
          <w:highlight w:val="none"/>
        </w:rPr>
        <w:t>如果</w:t>
      </w:r>
      <w:r>
        <w:rPr>
          <w:rFonts w:ascii="Times New Roman" w:hAnsi="Times New Roman" w:cs="Times New Roman"/>
          <w:color w:val="auto"/>
          <w:sz w:val="24"/>
          <w:highlight w:val="none"/>
        </w:rPr>
        <w:t>与</w:t>
      </w:r>
      <w:r>
        <w:rPr>
          <w:rFonts w:hint="default" w:ascii="Times New Roman" w:hAnsi="Times New Roman" w:cs="Times New Roman"/>
          <w:color w:val="auto"/>
          <w:sz w:val="24"/>
          <w:highlight w:val="none"/>
          <w:lang w:val="en-US" w:eastAsia="zh-CN"/>
        </w:rPr>
        <w:t>报价</w:t>
      </w:r>
      <w:r>
        <w:rPr>
          <w:rFonts w:hint="default" w:ascii="Times New Roman" w:hAnsi="Times New Roman" w:cs="Times New Roman"/>
          <w:color w:val="auto"/>
          <w:sz w:val="24"/>
          <w:highlight w:val="none"/>
          <w:lang w:eastAsia="zh-CN"/>
        </w:rPr>
        <w:t>人</w:t>
      </w:r>
      <w:r>
        <w:rPr>
          <w:rFonts w:ascii="Times New Roman" w:hAnsi="Times New Roman" w:cs="Times New Roman"/>
          <w:color w:val="auto"/>
          <w:sz w:val="24"/>
          <w:highlight w:val="none"/>
        </w:rPr>
        <w:t>所执行的标准发生矛盾时，则按较严格的标准执行。</w:t>
      </w:r>
    </w:p>
    <w:p>
      <w:pPr>
        <w:pStyle w:val="9"/>
        <w:numPr>
          <w:ilvl w:val="0"/>
          <w:numId w:val="3"/>
        </w:numPr>
        <w:adjustRightInd w:val="0"/>
        <w:snapToGrid w:val="0"/>
        <w:spacing w:line="360" w:lineRule="auto"/>
        <w:ind w:left="5" w:hanging="5"/>
        <w:rPr>
          <w:rFonts w:ascii="Times New Roman" w:hAnsi="Times New Roman" w:cs="Times New Roman"/>
          <w:color w:val="auto"/>
          <w:sz w:val="24"/>
          <w:highlight w:val="none"/>
        </w:rPr>
      </w:pPr>
      <w:r>
        <w:rPr>
          <w:rFonts w:ascii="Times New Roman" w:hAnsi="Times New Roman" w:cs="Times New Roman"/>
          <w:color w:val="auto"/>
          <w:sz w:val="24"/>
          <w:highlight w:val="none"/>
        </w:rPr>
        <w:t>在本工程交钥匙总承包中，</w:t>
      </w:r>
      <w:r>
        <w:rPr>
          <w:rFonts w:hint="default" w:ascii="Times New Roman" w:hAnsi="Times New Roman" w:cs="Times New Roman"/>
          <w:color w:val="auto"/>
          <w:sz w:val="24"/>
          <w:highlight w:val="none"/>
          <w:lang w:val="en-US" w:eastAsia="zh-CN"/>
        </w:rPr>
        <w:t>报价人</w:t>
      </w:r>
      <w:r>
        <w:rPr>
          <w:rFonts w:ascii="Times New Roman" w:hAnsi="Times New Roman" w:cs="Times New Roman"/>
          <w:color w:val="auto"/>
          <w:sz w:val="24"/>
          <w:highlight w:val="none"/>
        </w:rPr>
        <w:t>不得侵犯第三方知识产权。一旦发生侵权行为，</w:t>
      </w:r>
      <w:r>
        <w:rPr>
          <w:rFonts w:hint="default" w:ascii="Times New Roman" w:hAnsi="Times New Roman" w:cs="Times New Roman"/>
          <w:color w:val="auto"/>
          <w:sz w:val="24"/>
          <w:highlight w:val="none"/>
          <w:lang w:val="en-US" w:eastAsia="zh-CN"/>
        </w:rPr>
        <w:t>报价人</w:t>
      </w:r>
      <w:r>
        <w:rPr>
          <w:rFonts w:ascii="Times New Roman" w:hAnsi="Times New Roman" w:cs="Times New Roman"/>
          <w:color w:val="auto"/>
          <w:sz w:val="24"/>
          <w:highlight w:val="none"/>
        </w:rPr>
        <w:t>承担全部法律责任和所有的经济赔偿责任，并承担由于</w:t>
      </w:r>
      <w:r>
        <w:rPr>
          <w:rFonts w:hint="default" w:ascii="Times New Roman" w:hAnsi="Times New Roman" w:cs="Times New Roman"/>
          <w:color w:val="auto"/>
          <w:sz w:val="24"/>
          <w:highlight w:val="none"/>
          <w:lang w:val="en-US" w:eastAsia="zh-CN"/>
        </w:rPr>
        <w:t>报价人</w:t>
      </w:r>
      <w:r>
        <w:rPr>
          <w:rFonts w:ascii="Times New Roman" w:hAnsi="Times New Roman" w:cs="Times New Roman"/>
          <w:color w:val="auto"/>
          <w:sz w:val="24"/>
          <w:highlight w:val="none"/>
        </w:rPr>
        <w:t>侵权无法继续执行本合约而对业主方造成的工期延误、设备换型、设备拆卸清理、设计修改、施工返工等经济赔偿责任等。</w:t>
      </w:r>
      <w:r>
        <w:rPr>
          <w:rFonts w:hint="eastAsia" w:ascii="Times New Roman" w:hAnsi="Times New Roman" w:cs="Times New Roman"/>
          <w:color w:val="auto"/>
          <w:sz w:val="24"/>
          <w:highlight w:val="none"/>
          <w:lang w:val="en-US" w:eastAsia="zh-CN"/>
        </w:rPr>
        <w:t>成交</w:t>
      </w:r>
      <w:r>
        <w:rPr>
          <w:rFonts w:hint="default" w:ascii="Times New Roman" w:hAnsi="Times New Roman" w:cs="Times New Roman"/>
          <w:color w:val="auto"/>
          <w:sz w:val="24"/>
          <w:highlight w:val="none"/>
          <w:lang w:eastAsia="zh-CN"/>
        </w:rPr>
        <w:t>人</w:t>
      </w:r>
      <w:r>
        <w:rPr>
          <w:rFonts w:hint="default" w:ascii="Times New Roman" w:hAnsi="Times New Roman" w:cs="Times New Roman"/>
          <w:color w:val="auto"/>
          <w:sz w:val="24"/>
          <w:highlight w:val="none"/>
        </w:rPr>
        <w:t>不得以任何方式转包或分包本项目。</w:t>
      </w:r>
    </w:p>
    <w:p>
      <w:pPr>
        <w:pStyle w:val="9"/>
        <w:numPr>
          <w:ilvl w:val="0"/>
          <w:numId w:val="3"/>
        </w:numPr>
        <w:adjustRightInd w:val="0"/>
        <w:snapToGrid w:val="0"/>
        <w:spacing w:line="360" w:lineRule="auto"/>
        <w:ind w:left="5" w:hanging="5"/>
        <w:rPr>
          <w:rFonts w:ascii="Times New Roman" w:hAnsi="Times New Roman" w:cs="Times New Roman"/>
          <w:color w:val="auto"/>
          <w:sz w:val="24"/>
          <w:highlight w:val="none"/>
        </w:rPr>
      </w:pPr>
      <w:r>
        <w:rPr>
          <w:rFonts w:ascii="Times New Roman" w:hAnsi="Times New Roman" w:cs="Times New Roman"/>
          <w:color w:val="auto"/>
          <w:sz w:val="24"/>
          <w:highlight w:val="none"/>
        </w:rPr>
        <w:t>本</w:t>
      </w:r>
      <w:r>
        <w:rPr>
          <w:rFonts w:hint="default" w:ascii="Times New Roman" w:hAnsi="Times New Roman" w:cs="Times New Roman"/>
          <w:color w:val="auto"/>
          <w:sz w:val="24"/>
          <w:highlight w:val="none"/>
        </w:rPr>
        <w:t>仪器采购过</w:t>
      </w:r>
      <w:r>
        <w:rPr>
          <w:rFonts w:ascii="Times New Roman" w:hAnsi="Times New Roman" w:cs="Times New Roman"/>
          <w:color w:val="auto"/>
          <w:sz w:val="24"/>
          <w:highlight w:val="none"/>
        </w:rPr>
        <w:t>程</w:t>
      </w:r>
      <w:r>
        <w:rPr>
          <w:rFonts w:hint="default" w:ascii="Times New Roman" w:hAnsi="Times New Roman" w:cs="Times New Roman"/>
          <w:color w:val="auto"/>
          <w:sz w:val="24"/>
          <w:highlight w:val="none"/>
        </w:rPr>
        <w:t>中，仪器如若出现</w:t>
      </w:r>
      <w:r>
        <w:rPr>
          <w:rFonts w:ascii="Times New Roman" w:hAnsi="Times New Roman" w:cs="Times New Roman"/>
          <w:color w:val="auto"/>
          <w:sz w:val="24"/>
          <w:highlight w:val="none"/>
        </w:rPr>
        <w:t>问题，</w:t>
      </w:r>
      <w:r>
        <w:rPr>
          <w:rFonts w:hint="default" w:ascii="Times New Roman" w:hAnsi="Times New Roman" w:cs="Times New Roman"/>
          <w:color w:val="auto"/>
          <w:sz w:val="24"/>
          <w:highlight w:val="none"/>
          <w:lang w:val="en-US" w:eastAsia="zh-CN"/>
        </w:rPr>
        <w:t>报价人</w:t>
      </w:r>
      <w:r>
        <w:rPr>
          <w:rFonts w:ascii="Times New Roman" w:hAnsi="Times New Roman" w:cs="Times New Roman"/>
          <w:color w:val="auto"/>
          <w:sz w:val="24"/>
          <w:highlight w:val="none"/>
        </w:rPr>
        <w:t>需免费更换或调整</w:t>
      </w:r>
      <w:r>
        <w:rPr>
          <w:rFonts w:hint="default" w:ascii="Times New Roman" w:hAnsi="Times New Roman" w:cs="Times New Roman"/>
          <w:color w:val="auto"/>
          <w:sz w:val="24"/>
          <w:highlight w:val="none"/>
        </w:rPr>
        <w:t>维修</w:t>
      </w:r>
      <w:r>
        <w:rPr>
          <w:rFonts w:ascii="Times New Roman" w:hAnsi="Times New Roman" w:cs="Times New Roman"/>
          <w:color w:val="auto"/>
          <w:sz w:val="24"/>
          <w:highlight w:val="none"/>
        </w:rPr>
        <w:t>。</w:t>
      </w:r>
    </w:p>
    <w:p>
      <w:pPr>
        <w:pStyle w:val="9"/>
        <w:numPr>
          <w:ilvl w:val="0"/>
          <w:numId w:val="3"/>
        </w:numPr>
        <w:adjustRightInd w:val="0"/>
        <w:snapToGrid w:val="0"/>
        <w:spacing w:line="360" w:lineRule="auto"/>
        <w:ind w:left="5" w:hanging="5"/>
        <w:rPr>
          <w:rFonts w:ascii="Times New Roman" w:hAnsi="Times New Roman" w:cs="Times New Roman"/>
          <w:color w:val="auto"/>
          <w:sz w:val="24"/>
          <w:highlight w:val="none"/>
        </w:rPr>
      </w:pPr>
      <w:r>
        <w:rPr>
          <w:rFonts w:hint="default" w:ascii="Times New Roman" w:hAnsi="Times New Roman" w:cs="Times New Roman"/>
          <w:color w:val="auto"/>
          <w:sz w:val="24"/>
          <w:highlight w:val="none"/>
          <w:lang w:val="en-US" w:eastAsia="zh-CN"/>
        </w:rPr>
        <w:t>报价人</w:t>
      </w:r>
      <w:r>
        <w:rPr>
          <w:rFonts w:hint="default" w:ascii="Times New Roman" w:hAnsi="Times New Roman" w:cs="Times New Roman"/>
          <w:color w:val="auto"/>
          <w:sz w:val="24"/>
          <w:highlight w:val="none"/>
        </w:rPr>
        <w:t>所提供产品必须符合本用户需求书中所描述的产品要求，并列明详细的参数。所提供的货物必须是原厂生产的、全新的、未使用过的，并完全符合原厂质量检测标准和国家相关标准、行业标准。</w:t>
      </w:r>
    </w:p>
    <w:p>
      <w:pPr>
        <w:pStyle w:val="9"/>
        <w:tabs>
          <w:tab w:val="left" w:pos="420"/>
        </w:tabs>
        <w:adjustRightInd w:val="0"/>
        <w:snapToGrid w:val="0"/>
        <w:spacing w:line="360" w:lineRule="auto"/>
        <w:outlineLvl w:val="1"/>
        <w:rPr>
          <w:rFonts w:ascii="Times New Roman" w:hAnsi="Times New Roman" w:cs="Times New Roman"/>
          <w:b/>
          <w:bCs/>
          <w:color w:val="auto"/>
          <w:sz w:val="24"/>
          <w:highlight w:val="none"/>
        </w:rPr>
      </w:pPr>
      <w:bookmarkStart w:id="20" w:name="_Toc32197"/>
      <w:r>
        <w:rPr>
          <w:rFonts w:hint="default" w:ascii="Times New Roman" w:hAnsi="Times New Roman" w:cs="Times New Roman"/>
          <w:b/>
          <w:bCs/>
          <w:color w:val="auto"/>
          <w:sz w:val="24"/>
          <w:highlight w:val="none"/>
        </w:rPr>
        <w:t>4.2 验收要求</w:t>
      </w:r>
      <w:bookmarkEnd w:id="20"/>
    </w:p>
    <w:p>
      <w:pPr>
        <w:pStyle w:val="9"/>
        <w:numPr>
          <w:ilvl w:val="0"/>
          <w:numId w:val="4"/>
        </w:numPr>
        <w:adjustRightInd w:val="0"/>
        <w:snapToGrid w:val="0"/>
        <w:spacing w:line="360" w:lineRule="auto"/>
        <w:ind w:left="5" w:hanging="5"/>
        <w:rPr>
          <w:rFonts w:hint="default" w:ascii="Times New Roman" w:hAnsi="Times New Roman" w:cs="Times New Roman"/>
          <w:color w:val="auto"/>
          <w:sz w:val="24"/>
          <w:highlight w:val="none"/>
          <w:lang w:eastAsia="zh-CN"/>
        </w:rPr>
      </w:pPr>
      <w:r>
        <w:rPr>
          <w:rFonts w:hint="default" w:ascii="Times New Roman" w:hAnsi="Times New Roman" w:cs="Times New Roman"/>
          <w:color w:val="auto"/>
          <w:sz w:val="24"/>
          <w:highlight w:val="none"/>
          <w:lang w:eastAsia="zh-CN"/>
        </w:rPr>
        <w:t>根据</w:t>
      </w:r>
      <w:r>
        <w:rPr>
          <w:rFonts w:hint="default" w:ascii="Times New Roman" w:hAnsi="Times New Roman" w:cs="Times New Roman"/>
          <w:color w:val="auto"/>
          <w:sz w:val="24"/>
          <w:highlight w:val="none"/>
          <w:lang w:val="en-US" w:eastAsia="zh-CN"/>
        </w:rPr>
        <w:t>报价人</w:t>
      </w:r>
      <w:r>
        <w:rPr>
          <w:rFonts w:hint="default" w:ascii="Times New Roman" w:hAnsi="Times New Roman" w:cs="Times New Roman"/>
          <w:color w:val="auto"/>
          <w:sz w:val="24"/>
          <w:highlight w:val="none"/>
          <w:lang w:eastAsia="zh-CN"/>
        </w:rPr>
        <w:t>的</w:t>
      </w:r>
      <w:r>
        <w:rPr>
          <w:rFonts w:hint="default" w:ascii="Times New Roman" w:hAnsi="Times New Roman" w:cs="Times New Roman"/>
          <w:color w:val="auto"/>
          <w:sz w:val="24"/>
          <w:highlight w:val="none"/>
          <w:lang w:val="en-US" w:eastAsia="zh-CN"/>
        </w:rPr>
        <w:t>报价</w:t>
      </w:r>
      <w:r>
        <w:rPr>
          <w:rFonts w:hint="default" w:ascii="Times New Roman" w:hAnsi="Times New Roman" w:cs="Times New Roman"/>
          <w:color w:val="auto"/>
          <w:sz w:val="24"/>
          <w:highlight w:val="none"/>
          <w:lang w:eastAsia="zh-CN"/>
        </w:rPr>
        <w:t>承诺及行业标准、国家标准验收。所有仪器的品牌、型号、数量与</w:t>
      </w:r>
      <w:r>
        <w:rPr>
          <w:rFonts w:hint="default" w:ascii="Times New Roman" w:hAnsi="Times New Roman" w:cs="Times New Roman"/>
          <w:color w:val="auto"/>
          <w:sz w:val="24"/>
          <w:highlight w:val="none"/>
          <w:lang w:val="en-US" w:eastAsia="zh-CN"/>
        </w:rPr>
        <w:t>报价人报价</w:t>
      </w:r>
      <w:r>
        <w:rPr>
          <w:rFonts w:hint="default" w:ascii="Times New Roman" w:hAnsi="Times New Roman" w:cs="Times New Roman"/>
          <w:color w:val="auto"/>
          <w:sz w:val="24"/>
          <w:highlight w:val="none"/>
          <w:lang w:eastAsia="zh-CN"/>
        </w:rPr>
        <w:t>文件一致；所有仪器能正常工作，其功能、性能、参数达到</w:t>
      </w:r>
      <w:r>
        <w:rPr>
          <w:rFonts w:hint="default" w:ascii="Times New Roman" w:hAnsi="Times New Roman" w:cs="Times New Roman"/>
          <w:color w:val="auto"/>
          <w:sz w:val="24"/>
          <w:highlight w:val="none"/>
          <w:lang w:val="en-US" w:eastAsia="zh-CN"/>
        </w:rPr>
        <w:t>报价</w:t>
      </w:r>
      <w:r>
        <w:rPr>
          <w:rFonts w:hint="default" w:ascii="Times New Roman" w:hAnsi="Times New Roman" w:cs="Times New Roman"/>
          <w:color w:val="auto"/>
          <w:sz w:val="24"/>
          <w:highlight w:val="none"/>
          <w:lang w:eastAsia="zh-CN"/>
        </w:rPr>
        <w:t>文件上技术指标要求。</w:t>
      </w:r>
    </w:p>
    <w:p>
      <w:pPr>
        <w:pStyle w:val="9"/>
        <w:numPr>
          <w:ilvl w:val="0"/>
          <w:numId w:val="4"/>
        </w:numPr>
        <w:adjustRightInd w:val="0"/>
        <w:snapToGrid w:val="0"/>
        <w:spacing w:line="360" w:lineRule="auto"/>
        <w:ind w:left="5" w:hanging="5"/>
        <w:rPr>
          <w:rFonts w:hint="default" w:ascii="Times New Roman" w:hAnsi="Times New Roman" w:cs="Times New Roman"/>
          <w:color w:val="auto"/>
          <w:sz w:val="24"/>
          <w:highlight w:val="none"/>
          <w:lang w:eastAsia="zh-CN"/>
        </w:rPr>
      </w:pPr>
      <w:r>
        <w:rPr>
          <w:rFonts w:hint="default" w:ascii="Times New Roman" w:hAnsi="Times New Roman" w:cs="Times New Roman"/>
          <w:color w:val="auto"/>
          <w:sz w:val="24"/>
          <w:highlight w:val="none"/>
          <w:lang w:val="en-US" w:eastAsia="zh-CN"/>
        </w:rPr>
        <w:t>报价人必须按照本技术文件第5部分仪器设备采购清单中的检定/校准要求，委托具有CNAS认可资质的法定计量检定技术机构，对需要检定/校准的仪器设备进行检定/校准，并出具检定/校准证书原件。</w:t>
      </w:r>
    </w:p>
    <w:p>
      <w:pPr>
        <w:pStyle w:val="9"/>
        <w:numPr>
          <w:ilvl w:val="0"/>
          <w:numId w:val="4"/>
        </w:numPr>
        <w:adjustRightInd w:val="0"/>
        <w:snapToGrid w:val="0"/>
        <w:spacing w:line="360" w:lineRule="auto"/>
        <w:ind w:left="5" w:hanging="5"/>
        <w:rPr>
          <w:rFonts w:hint="default" w:ascii="Times New Roman" w:hAnsi="Times New Roman" w:cs="Times New Roman"/>
          <w:color w:val="auto"/>
          <w:sz w:val="24"/>
          <w:highlight w:val="none"/>
          <w:lang w:eastAsia="zh-CN"/>
        </w:rPr>
      </w:pPr>
      <w:r>
        <w:rPr>
          <w:rFonts w:hint="default" w:ascii="Times New Roman" w:hAnsi="Times New Roman" w:cs="Times New Roman"/>
          <w:color w:val="auto"/>
          <w:sz w:val="24"/>
          <w:highlight w:val="none"/>
          <w:lang w:val="en-US" w:eastAsia="zh-CN"/>
        </w:rPr>
        <w:t>报价人</w:t>
      </w:r>
      <w:r>
        <w:rPr>
          <w:rFonts w:hint="default" w:ascii="Times New Roman" w:hAnsi="Times New Roman" w:cs="Times New Roman"/>
          <w:color w:val="auto"/>
          <w:sz w:val="24"/>
          <w:highlight w:val="none"/>
          <w:lang w:eastAsia="zh-CN"/>
        </w:rPr>
        <w:t>需提供中文操作指引、出厂合格证明和仪器安装调试验收合格报告或证明，进口仪器设备必须提供生产厂家授权书、售后服务承诺书、中文参数证明函。</w:t>
      </w:r>
      <w:r>
        <w:rPr>
          <w:rFonts w:hint="default" w:ascii="Times New Roman" w:hAnsi="Times New Roman" w:cs="Times New Roman"/>
          <w:color w:val="auto"/>
          <w:sz w:val="24"/>
          <w:highlight w:val="none"/>
          <w:lang w:val="en-US" w:eastAsia="zh-CN"/>
        </w:rPr>
        <w:t>采购人</w:t>
      </w:r>
      <w:r>
        <w:rPr>
          <w:rFonts w:hint="default" w:ascii="Times New Roman" w:hAnsi="Times New Roman" w:cs="Times New Roman"/>
          <w:color w:val="auto"/>
          <w:sz w:val="24"/>
          <w:highlight w:val="none"/>
          <w:lang w:eastAsia="zh-CN"/>
        </w:rPr>
        <w:t>如发现</w:t>
      </w:r>
      <w:r>
        <w:rPr>
          <w:rFonts w:hint="default" w:ascii="Times New Roman" w:hAnsi="Times New Roman" w:cs="Times New Roman"/>
          <w:color w:val="auto"/>
          <w:sz w:val="24"/>
          <w:highlight w:val="none"/>
          <w:lang w:val="en-US" w:eastAsia="zh-CN"/>
        </w:rPr>
        <w:t>成交人</w:t>
      </w:r>
      <w:r>
        <w:rPr>
          <w:rFonts w:hint="default" w:ascii="Times New Roman" w:hAnsi="Times New Roman" w:cs="Times New Roman"/>
          <w:color w:val="auto"/>
          <w:sz w:val="24"/>
          <w:highlight w:val="none"/>
          <w:lang w:eastAsia="zh-CN"/>
        </w:rPr>
        <w:t>所提供的设备和材料低于合同规定的标准时，有权要求</w:t>
      </w:r>
      <w:r>
        <w:rPr>
          <w:rFonts w:hint="default" w:ascii="Times New Roman" w:hAnsi="Times New Roman" w:cs="Times New Roman"/>
          <w:color w:val="auto"/>
          <w:sz w:val="24"/>
          <w:highlight w:val="none"/>
          <w:lang w:val="en-US" w:eastAsia="zh-CN"/>
        </w:rPr>
        <w:t>成交人</w:t>
      </w:r>
      <w:r>
        <w:rPr>
          <w:rFonts w:hint="default" w:ascii="Times New Roman" w:hAnsi="Times New Roman" w:cs="Times New Roman"/>
          <w:color w:val="auto"/>
          <w:sz w:val="24"/>
          <w:highlight w:val="none"/>
          <w:lang w:eastAsia="zh-CN"/>
        </w:rPr>
        <w:t>进行更换，费用由</w:t>
      </w:r>
      <w:r>
        <w:rPr>
          <w:rFonts w:hint="default" w:ascii="Times New Roman" w:hAnsi="Times New Roman" w:cs="Times New Roman"/>
          <w:color w:val="auto"/>
          <w:sz w:val="24"/>
          <w:highlight w:val="none"/>
          <w:lang w:val="en-US" w:eastAsia="zh-CN"/>
        </w:rPr>
        <w:t>成交人</w:t>
      </w:r>
      <w:r>
        <w:rPr>
          <w:rFonts w:hint="default" w:ascii="Times New Roman" w:hAnsi="Times New Roman" w:cs="Times New Roman"/>
          <w:color w:val="auto"/>
          <w:sz w:val="24"/>
          <w:highlight w:val="none"/>
          <w:lang w:eastAsia="zh-CN"/>
        </w:rPr>
        <w:t>自负。</w:t>
      </w:r>
    </w:p>
    <w:p>
      <w:pPr>
        <w:pStyle w:val="9"/>
        <w:tabs>
          <w:tab w:val="left" w:pos="420"/>
        </w:tabs>
        <w:adjustRightInd w:val="0"/>
        <w:snapToGrid w:val="0"/>
        <w:spacing w:line="360" w:lineRule="auto"/>
        <w:outlineLvl w:val="1"/>
        <w:rPr>
          <w:rFonts w:ascii="Times New Roman" w:hAnsi="Times New Roman" w:cs="Times New Roman"/>
          <w:b/>
          <w:bCs/>
          <w:color w:val="auto"/>
          <w:sz w:val="24"/>
          <w:highlight w:val="none"/>
        </w:rPr>
      </w:pPr>
      <w:bookmarkStart w:id="21" w:name="_Toc27013"/>
      <w:r>
        <w:rPr>
          <w:rFonts w:hint="default" w:ascii="Times New Roman" w:hAnsi="Times New Roman" w:cs="Times New Roman"/>
          <w:b/>
          <w:bCs/>
          <w:color w:val="auto"/>
          <w:sz w:val="24"/>
          <w:highlight w:val="none"/>
        </w:rPr>
        <w:t>4.3 售后服务及培训要求</w:t>
      </w:r>
      <w:bookmarkEnd w:id="21"/>
    </w:p>
    <w:p>
      <w:pPr>
        <w:pStyle w:val="9"/>
        <w:numPr>
          <w:ilvl w:val="0"/>
          <w:numId w:val="5"/>
        </w:numPr>
        <w:adjustRightInd w:val="0"/>
        <w:snapToGrid w:val="0"/>
        <w:spacing w:line="360" w:lineRule="auto"/>
        <w:ind w:left="5" w:hanging="5"/>
        <w:rPr>
          <w:rFonts w:ascii="Times New Roman" w:hAnsi="Times New Roman" w:cs="Times New Roman"/>
          <w:color w:val="auto"/>
          <w:sz w:val="24"/>
          <w:highlight w:val="none"/>
        </w:rPr>
      </w:pPr>
      <w:r>
        <w:rPr>
          <w:rFonts w:hint="default" w:ascii="Times New Roman" w:hAnsi="Times New Roman" w:cs="Times New Roman"/>
          <w:color w:val="auto"/>
          <w:sz w:val="24"/>
          <w:highlight w:val="none"/>
          <w:lang w:val="en-US" w:eastAsia="zh-CN"/>
        </w:rPr>
        <w:t>报价人</w:t>
      </w:r>
      <w:r>
        <w:rPr>
          <w:rFonts w:hint="default" w:ascii="Times New Roman" w:hAnsi="Times New Roman" w:cs="Times New Roman"/>
          <w:color w:val="auto"/>
          <w:sz w:val="24"/>
          <w:highlight w:val="none"/>
        </w:rPr>
        <w:t>需拥有稳定的售后服务体系，能提供良好的售后服务，在保修期内，</w:t>
      </w:r>
      <w:r>
        <w:rPr>
          <w:rFonts w:hint="default" w:ascii="Times New Roman" w:hAnsi="Times New Roman" w:cs="Times New Roman"/>
          <w:color w:val="auto"/>
          <w:sz w:val="24"/>
          <w:highlight w:val="none"/>
          <w:lang w:val="en-US" w:eastAsia="zh-CN"/>
        </w:rPr>
        <w:t>报价人</w:t>
      </w:r>
      <w:r>
        <w:rPr>
          <w:rFonts w:hint="default" w:ascii="Times New Roman" w:hAnsi="Times New Roman" w:cs="Times New Roman"/>
          <w:color w:val="auto"/>
          <w:sz w:val="24"/>
          <w:highlight w:val="none"/>
        </w:rPr>
        <w:t>须提供可随时上门进行维修及检测服务的工程师。</w:t>
      </w:r>
    </w:p>
    <w:p>
      <w:pPr>
        <w:pStyle w:val="9"/>
        <w:numPr>
          <w:ilvl w:val="0"/>
          <w:numId w:val="5"/>
        </w:numPr>
        <w:adjustRightInd w:val="0"/>
        <w:snapToGrid w:val="0"/>
        <w:spacing w:line="360" w:lineRule="auto"/>
        <w:ind w:left="5" w:hanging="5"/>
        <w:rPr>
          <w:rFonts w:ascii="Times New Roman" w:hAnsi="Times New Roman" w:cs="Times New Roman"/>
          <w:color w:val="auto"/>
          <w:sz w:val="24"/>
          <w:highlight w:val="none"/>
        </w:rPr>
      </w:pPr>
      <w:r>
        <w:rPr>
          <w:rFonts w:hint="default" w:ascii="Times New Roman" w:hAnsi="Times New Roman" w:cs="Times New Roman"/>
          <w:color w:val="auto"/>
          <w:sz w:val="24"/>
          <w:highlight w:val="none"/>
        </w:rPr>
        <w:t>质量保证期：所有设备质保期为一年</w:t>
      </w:r>
      <w:r>
        <w:rPr>
          <w:rFonts w:hint="default" w:ascii="Times New Roman" w:hAnsi="Times New Roman" w:cs="Times New Roman"/>
          <w:color w:val="auto"/>
          <w:sz w:val="24"/>
          <w:highlight w:val="none"/>
          <w:lang w:eastAsia="zh-CN"/>
        </w:rPr>
        <w:t>，</w:t>
      </w:r>
      <w:r>
        <w:rPr>
          <w:rFonts w:hint="default" w:ascii="Times New Roman" w:hAnsi="Times New Roman" w:cs="Times New Roman"/>
          <w:color w:val="auto"/>
          <w:sz w:val="24"/>
          <w:highlight w:val="none"/>
        </w:rPr>
        <w:t>自供需双方代表在仪器安装调试验收合格报告或证明上签字之日起计算，如质保期约定出现冲突时，以时间长的质保期为最终约定</w:t>
      </w:r>
      <w:r>
        <w:rPr>
          <w:rFonts w:hint="default" w:ascii="Times New Roman" w:hAnsi="Times New Roman" w:cs="Times New Roman"/>
          <w:color w:val="auto"/>
          <w:sz w:val="24"/>
          <w:highlight w:val="none"/>
          <w:lang w:eastAsia="zh-CN"/>
        </w:rPr>
        <w:t>。</w:t>
      </w:r>
      <w:r>
        <w:rPr>
          <w:rFonts w:hint="default" w:ascii="Times New Roman" w:hAnsi="Times New Roman" w:cs="Times New Roman"/>
          <w:color w:val="auto"/>
          <w:sz w:val="24"/>
          <w:highlight w:val="none"/>
        </w:rPr>
        <w:t>所有设备的包换和包修服务遵从国家三包规定，并提供终身跟踪服务；保修期自供需双方代表在仪器安装调试验收合格报告或证明上签字之日起计算。</w:t>
      </w:r>
    </w:p>
    <w:p>
      <w:pPr>
        <w:pStyle w:val="9"/>
        <w:numPr>
          <w:ilvl w:val="0"/>
          <w:numId w:val="5"/>
        </w:numPr>
        <w:adjustRightInd w:val="0"/>
        <w:snapToGrid w:val="0"/>
        <w:spacing w:line="360" w:lineRule="auto"/>
        <w:ind w:left="5" w:hanging="5"/>
        <w:rPr>
          <w:rFonts w:ascii="Times New Roman" w:hAnsi="Times New Roman" w:cs="Times New Roman"/>
          <w:color w:val="auto"/>
          <w:sz w:val="24"/>
          <w:highlight w:val="none"/>
        </w:rPr>
      </w:pPr>
      <w:r>
        <w:rPr>
          <w:rFonts w:hint="default" w:ascii="Times New Roman" w:hAnsi="Times New Roman" w:cs="Times New Roman"/>
          <w:color w:val="auto"/>
          <w:sz w:val="24"/>
          <w:highlight w:val="none"/>
        </w:rPr>
        <w:t>保修期内，</w:t>
      </w:r>
      <w:r>
        <w:rPr>
          <w:rFonts w:hint="default" w:ascii="Times New Roman" w:hAnsi="Times New Roman" w:cs="Times New Roman"/>
          <w:color w:val="auto"/>
          <w:sz w:val="24"/>
          <w:highlight w:val="none"/>
          <w:lang w:val="en-US" w:eastAsia="zh-CN"/>
        </w:rPr>
        <w:t>报价人</w:t>
      </w:r>
      <w:r>
        <w:rPr>
          <w:rFonts w:hint="default" w:ascii="Times New Roman" w:hAnsi="Times New Roman" w:cs="Times New Roman"/>
          <w:color w:val="auto"/>
          <w:sz w:val="24"/>
          <w:highlight w:val="none"/>
        </w:rPr>
        <w:t>应负责设备运行的稳定性。负责免费更换故障部件。若</w:t>
      </w:r>
      <w:r>
        <w:rPr>
          <w:rFonts w:hint="default" w:ascii="Times New Roman" w:hAnsi="Times New Roman" w:cs="Times New Roman"/>
          <w:color w:val="auto"/>
          <w:sz w:val="24"/>
          <w:highlight w:val="none"/>
          <w:lang w:val="en-US" w:eastAsia="zh-CN"/>
        </w:rPr>
        <w:t>报价人</w:t>
      </w:r>
      <w:r>
        <w:rPr>
          <w:rFonts w:hint="default" w:ascii="Times New Roman" w:hAnsi="Times New Roman" w:cs="Times New Roman"/>
          <w:color w:val="auto"/>
          <w:sz w:val="24"/>
          <w:highlight w:val="none"/>
        </w:rPr>
        <w:t>提供的货物在功能上和性能上达不到设计要求的，</w:t>
      </w:r>
      <w:r>
        <w:rPr>
          <w:rFonts w:hint="default" w:ascii="Times New Roman" w:hAnsi="Times New Roman" w:cs="Times New Roman"/>
          <w:color w:val="auto"/>
          <w:sz w:val="24"/>
          <w:highlight w:val="none"/>
          <w:lang w:val="en-US" w:eastAsia="zh-CN"/>
        </w:rPr>
        <w:t>采购人</w:t>
      </w:r>
      <w:r>
        <w:rPr>
          <w:rFonts w:hint="default" w:ascii="Times New Roman" w:hAnsi="Times New Roman" w:cs="Times New Roman"/>
          <w:color w:val="auto"/>
          <w:sz w:val="24"/>
          <w:highlight w:val="none"/>
        </w:rPr>
        <w:t>有权要求</w:t>
      </w:r>
      <w:r>
        <w:rPr>
          <w:rFonts w:hint="default" w:ascii="Times New Roman" w:hAnsi="Times New Roman" w:cs="Times New Roman"/>
          <w:color w:val="auto"/>
          <w:sz w:val="24"/>
          <w:highlight w:val="none"/>
          <w:lang w:val="en-US" w:eastAsia="zh-CN"/>
        </w:rPr>
        <w:t>报价人</w:t>
      </w:r>
      <w:r>
        <w:rPr>
          <w:rFonts w:hint="default" w:ascii="Times New Roman" w:hAnsi="Times New Roman" w:cs="Times New Roman"/>
          <w:color w:val="auto"/>
          <w:sz w:val="24"/>
          <w:highlight w:val="none"/>
        </w:rPr>
        <w:t>进行及时完善或更换。</w:t>
      </w:r>
    </w:p>
    <w:p>
      <w:pPr>
        <w:pStyle w:val="9"/>
        <w:numPr>
          <w:ilvl w:val="0"/>
          <w:numId w:val="5"/>
        </w:numPr>
        <w:adjustRightInd w:val="0"/>
        <w:snapToGrid w:val="0"/>
        <w:spacing w:line="360" w:lineRule="auto"/>
        <w:ind w:left="5" w:hanging="5"/>
        <w:rPr>
          <w:rFonts w:ascii="Times New Roman" w:hAnsi="Times New Roman" w:cs="Times New Roman"/>
          <w:color w:val="auto"/>
          <w:sz w:val="24"/>
          <w:highlight w:val="none"/>
        </w:rPr>
      </w:pPr>
      <w:r>
        <w:rPr>
          <w:rFonts w:hint="default" w:ascii="Times New Roman" w:hAnsi="Times New Roman" w:cs="Times New Roman"/>
          <w:color w:val="auto"/>
          <w:sz w:val="24"/>
          <w:highlight w:val="none"/>
        </w:rPr>
        <w:t>保修期内</w:t>
      </w:r>
      <w:r>
        <w:rPr>
          <w:rFonts w:hint="default" w:ascii="Times New Roman" w:hAnsi="Times New Roman" w:cs="Times New Roman"/>
          <w:color w:val="auto"/>
          <w:sz w:val="24"/>
          <w:highlight w:val="none"/>
          <w:lang w:val="en-US" w:eastAsia="zh-CN"/>
        </w:rPr>
        <w:t>报价人</w:t>
      </w:r>
      <w:r>
        <w:rPr>
          <w:rFonts w:hint="default" w:ascii="Times New Roman" w:hAnsi="Times New Roman" w:cs="Times New Roman"/>
          <w:color w:val="auto"/>
          <w:sz w:val="24"/>
          <w:highlight w:val="none"/>
        </w:rPr>
        <w:t>所购设备各部件发生非人为故障，</w:t>
      </w:r>
      <w:r>
        <w:rPr>
          <w:rFonts w:hint="default" w:ascii="Times New Roman" w:hAnsi="Times New Roman" w:cs="Times New Roman"/>
          <w:color w:val="auto"/>
          <w:sz w:val="24"/>
          <w:highlight w:val="none"/>
          <w:lang w:val="en-US" w:eastAsia="zh-CN"/>
        </w:rPr>
        <w:t>报价人</w:t>
      </w:r>
      <w:r>
        <w:rPr>
          <w:rFonts w:hint="default" w:ascii="Times New Roman" w:hAnsi="Times New Roman" w:cs="Times New Roman"/>
          <w:color w:val="auto"/>
          <w:sz w:val="24"/>
          <w:highlight w:val="none"/>
        </w:rPr>
        <w:t>应免费上门更换同种品牌规格型号的新部件，设备发生人为故障的，</w:t>
      </w:r>
      <w:r>
        <w:rPr>
          <w:rFonts w:hint="default" w:ascii="Times New Roman" w:hAnsi="Times New Roman" w:cs="Times New Roman"/>
          <w:color w:val="auto"/>
          <w:sz w:val="24"/>
          <w:highlight w:val="none"/>
          <w:lang w:val="en-US" w:eastAsia="zh-CN"/>
        </w:rPr>
        <w:t>报价人</w:t>
      </w:r>
      <w:r>
        <w:rPr>
          <w:rFonts w:hint="default" w:ascii="Times New Roman" w:hAnsi="Times New Roman" w:cs="Times New Roman"/>
          <w:color w:val="auto"/>
          <w:sz w:val="24"/>
          <w:highlight w:val="none"/>
        </w:rPr>
        <w:t>应上门更换同种品牌规格型号的新部件，只收零配件成本，不加收其它任何费用。</w:t>
      </w:r>
    </w:p>
    <w:p>
      <w:pPr>
        <w:pStyle w:val="9"/>
        <w:numPr>
          <w:ilvl w:val="0"/>
          <w:numId w:val="5"/>
        </w:numPr>
        <w:adjustRightInd w:val="0"/>
        <w:snapToGrid w:val="0"/>
        <w:spacing w:line="360" w:lineRule="auto"/>
        <w:ind w:left="5" w:hanging="5"/>
        <w:rPr>
          <w:rFonts w:ascii="Times New Roman" w:hAnsi="Times New Roman" w:cs="Times New Roman"/>
          <w:color w:val="auto"/>
          <w:sz w:val="24"/>
          <w:highlight w:val="none"/>
        </w:rPr>
      </w:pPr>
      <w:r>
        <w:rPr>
          <w:rFonts w:hint="default" w:ascii="Times New Roman" w:hAnsi="Times New Roman" w:cs="Times New Roman"/>
          <w:color w:val="auto"/>
          <w:sz w:val="24"/>
          <w:highlight w:val="none"/>
        </w:rPr>
        <w:t>提供货物免费安装、调试、培训使用；24小时免费提供技术支持；永久性免费提供电话技术指导和咨询服务；提供长期上门维修服务，免费对产品软件进行升级（如有）；定期进行设备免费检查（人为因素、自然因素（如火灾、雷击等）造成的故障除外）。</w:t>
      </w:r>
    </w:p>
    <w:p>
      <w:pPr>
        <w:pStyle w:val="9"/>
        <w:numPr>
          <w:ilvl w:val="0"/>
          <w:numId w:val="5"/>
        </w:numPr>
        <w:adjustRightInd w:val="0"/>
        <w:snapToGrid w:val="0"/>
        <w:spacing w:line="360" w:lineRule="auto"/>
        <w:ind w:left="5" w:hanging="5"/>
        <w:rPr>
          <w:rFonts w:ascii="Times New Roman" w:hAnsi="Times New Roman" w:cs="Times New Roman"/>
          <w:color w:val="auto"/>
          <w:sz w:val="24"/>
          <w:highlight w:val="none"/>
        </w:rPr>
      </w:pPr>
      <w:r>
        <w:rPr>
          <w:rFonts w:hint="default" w:ascii="Times New Roman" w:hAnsi="Times New Roman" w:cs="Times New Roman"/>
          <w:color w:val="auto"/>
          <w:sz w:val="24"/>
          <w:highlight w:val="none"/>
        </w:rPr>
        <w:t>设备有故障通知</w:t>
      </w:r>
      <w:r>
        <w:rPr>
          <w:rFonts w:hint="default" w:ascii="Times New Roman" w:hAnsi="Times New Roman" w:cs="Times New Roman"/>
          <w:color w:val="auto"/>
          <w:sz w:val="24"/>
          <w:highlight w:val="none"/>
          <w:lang w:val="en-US" w:eastAsia="zh-CN"/>
        </w:rPr>
        <w:t>成交人</w:t>
      </w:r>
      <w:r>
        <w:rPr>
          <w:rFonts w:hint="default" w:ascii="Times New Roman" w:hAnsi="Times New Roman" w:cs="Times New Roman"/>
          <w:color w:val="auto"/>
          <w:sz w:val="24"/>
          <w:highlight w:val="none"/>
        </w:rPr>
        <w:t>，</w:t>
      </w:r>
      <w:r>
        <w:rPr>
          <w:rFonts w:hint="default" w:ascii="Times New Roman" w:hAnsi="Times New Roman" w:cs="Times New Roman"/>
          <w:color w:val="auto"/>
          <w:sz w:val="24"/>
          <w:highlight w:val="none"/>
          <w:lang w:val="en-US" w:eastAsia="zh-CN"/>
        </w:rPr>
        <w:t>成交人</w:t>
      </w:r>
      <w:r>
        <w:rPr>
          <w:rFonts w:hint="default" w:ascii="Times New Roman" w:hAnsi="Times New Roman" w:cs="Times New Roman"/>
          <w:color w:val="auto"/>
          <w:sz w:val="24"/>
          <w:highlight w:val="none"/>
        </w:rPr>
        <w:t>须在60分钟内响应、48小时内到达现场，如设备故障检修当天内无法排除故障，须在三天内提供不低于故障设备规格、型号、性能的备用设备替代故障设备，或无偿提供代检测服务，直至故障设备修复。</w:t>
      </w:r>
    </w:p>
    <w:p>
      <w:pPr>
        <w:pStyle w:val="9"/>
        <w:numPr>
          <w:ilvl w:val="0"/>
          <w:numId w:val="5"/>
        </w:numPr>
        <w:adjustRightInd w:val="0"/>
        <w:snapToGrid w:val="0"/>
        <w:spacing w:line="360" w:lineRule="auto"/>
        <w:ind w:left="5" w:hanging="5"/>
        <w:rPr>
          <w:rFonts w:ascii="Times New Roman" w:hAnsi="Times New Roman" w:cs="Times New Roman"/>
          <w:color w:val="auto"/>
          <w:sz w:val="24"/>
          <w:highlight w:val="none"/>
        </w:rPr>
      </w:pPr>
      <w:r>
        <w:rPr>
          <w:rFonts w:hint="default" w:ascii="Times New Roman" w:hAnsi="Times New Roman" w:cs="Times New Roman"/>
          <w:color w:val="auto"/>
          <w:sz w:val="24"/>
          <w:highlight w:val="none"/>
        </w:rPr>
        <w:t>培训；免费提供产品的安装，调试及使用培训服务，确保</w:t>
      </w:r>
      <w:r>
        <w:rPr>
          <w:rFonts w:hint="default" w:ascii="Times New Roman" w:hAnsi="Times New Roman" w:cs="Times New Roman"/>
          <w:color w:val="auto"/>
          <w:sz w:val="24"/>
          <w:highlight w:val="none"/>
          <w:lang w:val="en-US" w:eastAsia="zh-CN"/>
        </w:rPr>
        <w:t>采购人</w:t>
      </w:r>
      <w:r>
        <w:rPr>
          <w:rFonts w:hint="default" w:ascii="Times New Roman" w:hAnsi="Times New Roman" w:cs="Times New Roman"/>
          <w:color w:val="auto"/>
          <w:sz w:val="24"/>
          <w:highlight w:val="none"/>
        </w:rPr>
        <w:t>使用人员能够对本次采购产品有足够的了解，能够独立进行日常操作、管理和维护，培训人数不限，进口仪器现场培训时间不低于3天，外出免费培训名额不少于2个（每台大型仪器）。仪器设备验收后1年内至少1 次到</w:t>
      </w:r>
      <w:r>
        <w:rPr>
          <w:rFonts w:hint="eastAsia" w:ascii="Times New Roman" w:hAnsi="Times New Roman" w:cs="Times New Roman"/>
          <w:color w:val="auto"/>
          <w:sz w:val="24"/>
          <w:highlight w:val="none"/>
          <w:lang w:val="en-US" w:eastAsia="zh-CN"/>
        </w:rPr>
        <w:t>采购</w:t>
      </w:r>
      <w:r>
        <w:rPr>
          <w:rFonts w:hint="default" w:ascii="Times New Roman" w:hAnsi="Times New Roman" w:cs="Times New Roman"/>
          <w:color w:val="auto"/>
          <w:sz w:val="24"/>
          <w:highlight w:val="none"/>
          <w:lang w:eastAsia="zh-CN"/>
        </w:rPr>
        <w:t>人</w:t>
      </w:r>
      <w:r>
        <w:rPr>
          <w:rFonts w:hint="default" w:ascii="Times New Roman" w:hAnsi="Times New Roman" w:cs="Times New Roman"/>
          <w:color w:val="auto"/>
          <w:sz w:val="24"/>
          <w:highlight w:val="none"/>
        </w:rPr>
        <w:t>处进行免费维护、保养，对需要软件升级的，应免费提供升级。</w:t>
      </w:r>
    </w:p>
    <w:p>
      <w:pPr>
        <w:pStyle w:val="9"/>
        <w:tabs>
          <w:tab w:val="left" w:pos="420"/>
        </w:tabs>
        <w:adjustRightInd w:val="0"/>
        <w:snapToGrid w:val="0"/>
        <w:spacing w:line="360" w:lineRule="auto"/>
        <w:outlineLvl w:val="1"/>
        <w:rPr>
          <w:rFonts w:ascii="Times New Roman" w:hAnsi="Times New Roman" w:cs="Times New Roman"/>
          <w:b/>
          <w:bCs/>
          <w:color w:val="auto"/>
          <w:sz w:val="24"/>
          <w:highlight w:val="none"/>
        </w:rPr>
      </w:pPr>
      <w:bookmarkStart w:id="22" w:name="_Toc5831"/>
      <w:r>
        <w:rPr>
          <w:rFonts w:hint="default" w:ascii="Times New Roman" w:hAnsi="Times New Roman" w:cs="Times New Roman"/>
          <w:b/>
          <w:bCs/>
          <w:color w:val="auto"/>
          <w:sz w:val="24"/>
          <w:highlight w:val="none"/>
        </w:rPr>
        <w:t>4.4 说明</w:t>
      </w:r>
      <w:bookmarkEnd w:id="22"/>
    </w:p>
    <w:p>
      <w:pPr>
        <w:pStyle w:val="9"/>
        <w:numPr>
          <w:ilvl w:val="0"/>
          <w:numId w:val="6"/>
        </w:numPr>
        <w:adjustRightInd w:val="0"/>
        <w:snapToGrid w:val="0"/>
        <w:spacing w:line="360" w:lineRule="auto"/>
        <w:ind w:left="5" w:hanging="5"/>
        <w:rPr>
          <w:rFonts w:ascii="Times New Roman" w:hAnsi="Times New Roman" w:cs="Times New Roman"/>
          <w:color w:val="auto"/>
          <w:sz w:val="24"/>
          <w:highlight w:val="none"/>
        </w:rPr>
      </w:pPr>
      <w:r>
        <w:rPr>
          <w:rFonts w:hint="default" w:ascii="Times New Roman" w:hAnsi="Times New Roman" w:cs="Times New Roman"/>
          <w:color w:val="auto"/>
          <w:sz w:val="24"/>
          <w:highlight w:val="none"/>
          <w:lang w:val="en-US" w:eastAsia="zh-CN"/>
        </w:rPr>
        <w:t>报价人</w:t>
      </w:r>
      <w:r>
        <w:rPr>
          <w:rFonts w:hint="default" w:ascii="Times New Roman" w:hAnsi="Times New Roman" w:cs="Times New Roman"/>
          <w:color w:val="auto"/>
          <w:sz w:val="24"/>
          <w:highlight w:val="none"/>
        </w:rPr>
        <w:t>须对本项目以包组为单位的采购标的进行整体响应，任何只对采购标的其中一部分内容进行的响应都被视为无效</w:t>
      </w:r>
      <w:r>
        <w:rPr>
          <w:rFonts w:hint="eastAsia" w:ascii="Times New Roman" w:hAnsi="Times New Roman" w:cs="Times New Roman"/>
          <w:color w:val="auto"/>
          <w:sz w:val="24"/>
          <w:highlight w:val="none"/>
          <w:lang w:val="en-US" w:eastAsia="zh-CN"/>
        </w:rPr>
        <w:t>报价</w:t>
      </w:r>
      <w:r>
        <w:rPr>
          <w:rFonts w:hint="default" w:ascii="Times New Roman" w:hAnsi="Times New Roman" w:cs="Times New Roman"/>
          <w:color w:val="auto"/>
          <w:sz w:val="24"/>
          <w:highlight w:val="none"/>
        </w:rPr>
        <w:t>。</w:t>
      </w:r>
    </w:p>
    <w:p>
      <w:pPr>
        <w:pStyle w:val="9"/>
        <w:numPr>
          <w:ilvl w:val="0"/>
          <w:numId w:val="6"/>
        </w:numPr>
        <w:adjustRightInd w:val="0"/>
        <w:snapToGrid w:val="0"/>
        <w:spacing w:line="360" w:lineRule="auto"/>
        <w:ind w:left="5" w:hanging="5"/>
        <w:rPr>
          <w:rFonts w:ascii="Times New Roman" w:hAnsi="Times New Roman" w:cs="Times New Roman"/>
          <w:color w:val="auto"/>
          <w:sz w:val="24"/>
          <w:highlight w:val="none"/>
        </w:rPr>
      </w:pPr>
      <w:r>
        <w:rPr>
          <w:rFonts w:hint="default" w:ascii="Times New Roman" w:hAnsi="Times New Roman" w:cs="Times New Roman"/>
          <w:color w:val="auto"/>
          <w:sz w:val="24"/>
          <w:highlight w:val="none"/>
          <w:lang w:val="en-US" w:eastAsia="zh-CN"/>
        </w:rPr>
        <w:t>技术规格书</w:t>
      </w:r>
      <w:r>
        <w:rPr>
          <w:rFonts w:hint="default" w:ascii="Times New Roman" w:hAnsi="Times New Roman" w:cs="Times New Roman"/>
          <w:color w:val="auto"/>
          <w:sz w:val="24"/>
          <w:highlight w:val="none"/>
        </w:rPr>
        <w:t>中打“★”号条款为实质性条款，有任何一条负偏离则导致无效</w:t>
      </w:r>
      <w:r>
        <w:rPr>
          <w:rFonts w:hint="eastAsia" w:ascii="Times New Roman" w:hAnsi="Times New Roman" w:cs="Times New Roman"/>
          <w:color w:val="auto"/>
          <w:sz w:val="24"/>
          <w:highlight w:val="none"/>
          <w:lang w:val="en-US" w:eastAsia="zh-CN"/>
        </w:rPr>
        <w:t>报价</w:t>
      </w:r>
      <w:r>
        <w:rPr>
          <w:rFonts w:hint="default" w:ascii="Times New Roman" w:hAnsi="Times New Roman" w:cs="Times New Roman"/>
          <w:color w:val="auto"/>
          <w:sz w:val="24"/>
          <w:highlight w:val="none"/>
        </w:rPr>
        <w:t>。</w:t>
      </w:r>
      <w:r>
        <w:rPr>
          <w:rFonts w:hint="default" w:ascii="Times New Roman" w:hAnsi="Times New Roman" w:cs="Times New Roman"/>
          <w:color w:val="auto"/>
          <w:sz w:val="24"/>
          <w:highlight w:val="none"/>
          <w:lang w:eastAsia="zh-CN"/>
        </w:rPr>
        <w:t>（主要技术参数“★</w:t>
      </w:r>
      <w:r>
        <w:rPr>
          <w:rFonts w:hint="default" w:ascii="Times New Roman" w:hAnsi="Times New Roman" w:cs="Times New Roman"/>
          <w:color w:val="auto"/>
          <w:sz w:val="24"/>
          <w:highlight w:val="none"/>
        </w:rPr>
        <w:t>”号条款</w:t>
      </w:r>
      <w:r>
        <w:rPr>
          <w:rFonts w:hint="default" w:ascii="Times New Roman" w:hAnsi="Times New Roman" w:cs="Times New Roman"/>
          <w:color w:val="auto"/>
          <w:sz w:val="24"/>
          <w:highlight w:val="none"/>
          <w:lang w:eastAsia="zh-CN"/>
        </w:rPr>
        <w:t>以</w:t>
      </w:r>
      <w:r>
        <w:rPr>
          <w:rFonts w:hint="default" w:ascii="Times New Roman" w:hAnsi="Times New Roman" w:cs="Times New Roman"/>
          <w:color w:val="auto"/>
          <w:sz w:val="24"/>
          <w:highlight w:val="none"/>
        </w:rPr>
        <w:t>制造商公开发布的印刷资料或制造商出具的技术参数证明</w:t>
      </w:r>
      <w:r>
        <w:rPr>
          <w:rFonts w:hint="default" w:ascii="Times New Roman" w:hAnsi="Times New Roman" w:cs="Times New Roman"/>
          <w:color w:val="auto"/>
          <w:sz w:val="24"/>
          <w:highlight w:val="none"/>
          <w:lang w:eastAsia="zh-CN"/>
        </w:rPr>
        <w:t>（加盖</w:t>
      </w:r>
      <w:r>
        <w:rPr>
          <w:rFonts w:hint="default" w:ascii="Times New Roman" w:hAnsi="Times New Roman" w:cs="Times New Roman"/>
          <w:color w:val="auto"/>
          <w:sz w:val="24"/>
          <w:highlight w:val="none"/>
          <w:lang w:val="en-US" w:eastAsia="zh-CN"/>
        </w:rPr>
        <w:t>报价人</w:t>
      </w:r>
      <w:r>
        <w:rPr>
          <w:rFonts w:hint="default" w:ascii="Times New Roman" w:hAnsi="Times New Roman" w:cs="Times New Roman"/>
          <w:color w:val="auto"/>
          <w:sz w:val="24"/>
          <w:highlight w:val="none"/>
          <w:lang w:eastAsia="zh-CN"/>
        </w:rPr>
        <w:t>公章）为准）。</w:t>
      </w:r>
    </w:p>
    <w:p>
      <w:pPr>
        <w:pStyle w:val="9"/>
        <w:numPr>
          <w:ilvl w:val="0"/>
          <w:numId w:val="6"/>
        </w:numPr>
        <w:adjustRightInd w:val="0"/>
        <w:snapToGrid w:val="0"/>
        <w:spacing w:line="360" w:lineRule="auto"/>
        <w:ind w:left="5" w:hanging="5"/>
        <w:rPr>
          <w:rFonts w:ascii="Times New Roman" w:hAnsi="Times New Roman" w:cs="Times New Roman"/>
          <w:color w:val="auto"/>
          <w:sz w:val="24"/>
          <w:highlight w:val="none"/>
        </w:rPr>
      </w:pPr>
      <w:r>
        <w:rPr>
          <w:rFonts w:hint="default" w:ascii="Times New Roman" w:hAnsi="Times New Roman" w:cs="Times New Roman"/>
          <w:color w:val="auto"/>
          <w:sz w:val="24"/>
          <w:highlight w:val="none"/>
          <w:lang w:val="en-US" w:eastAsia="zh-CN"/>
        </w:rPr>
        <w:t>技术规格书</w:t>
      </w:r>
      <w:r>
        <w:rPr>
          <w:rFonts w:hint="default" w:ascii="Times New Roman" w:hAnsi="Times New Roman" w:cs="Times New Roman"/>
          <w:color w:val="auto"/>
          <w:sz w:val="24"/>
          <w:highlight w:val="none"/>
        </w:rPr>
        <w:t>中打“▲”号条款为重要技术参数，但不作为无效</w:t>
      </w:r>
      <w:r>
        <w:rPr>
          <w:rFonts w:hint="eastAsia" w:ascii="Times New Roman" w:hAnsi="Times New Roman" w:cs="Times New Roman"/>
          <w:color w:val="auto"/>
          <w:sz w:val="24"/>
          <w:highlight w:val="none"/>
          <w:lang w:val="en-US" w:eastAsia="zh-CN"/>
        </w:rPr>
        <w:t>报价</w:t>
      </w:r>
      <w:r>
        <w:rPr>
          <w:rFonts w:hint="default" w:ascii="Times New Roman" w:hAnsi="Times New Roman" w:cs="Times New Roman"/>
          <w:color w:val="auto"/>
          <w:sz w:val="24"/>
          <w:highlight w:val="none"/>
        </w:rPr>
        <w:t>条款。</w:t>
      </w:r>
    </w:p>
    <w:p>
      <w:pPr>
        <w:pStyle w:val="4"/>
        <w:tabs>
          <w:tab w:val="left" w:pos="1260"/>
        </w:tabs>
        <w:ind w:left="0"/>
        <w:jc w:val="both"/>
        <w:rPr>
          <w:rFonts w:hint="default" w:ascii="Times New Roman" w:hAnsi="Times New Roman" w:cs="Times New Roman"/>
          <w:color w:val="auto"/>
          <w:sz w:val="32"/>
          <w:szCs w:val="32"/>
          <w:highlight w:val="none"/>
          <w:lang w:eastAsia="zh-CN"/>
        </w:rPr>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p>
    <w:p>
      <w:pPr>
        <w:pStyle w:val="4"/>
        <w:keepNext w:val="0"/>
        <w:keepLines w:val="0"/>
        <w:pageBreakBefore w:val="0"/>
        <w:widowControl w:val="0"/>
        <w:kinsoku/>
        <w:wordWrap/>
        <w:overflowPunct/>
        <w:topLinePunct w:val="0"/>
        <w:autoSpaceDE w:val="0"/>
        <w:autoSpaceDN w:val="0"/>
        <w:bidi w:val="0"/>
        <w:adjustRightInd/>
        <w:snapToGrid/>
        <w:spacing w:line="240" w:lineRule="auto"/>
        <w:ind w:left="0"/>
        <w:jc w:val="left"/>
        <w:textAlignment w:val="auto"/>
        <w:rPr>
          <w:rFonts w:hint="default" w:ascii="Times New Roman" w:hAnsi="Times New Roman" w:cs="Times New Roman"/>
          <w:color w:val="auto"/>
          <w:sz w:val="32"/>
          <w:szCs w:val="32"/>
          <w:highlight w:val="none"/>
          <w:lang w:eastAsia="zh-CN"/>
        </w:rPr>
      </w:pPr>
      <w:bookmarkStart w:id="23" w:name="_Toc29807"/>
      <w:r>
        <w:rPr>
          <w:rFonts w:hint="default" w:ascii="Times New Roman" w:hAnsi="Times New Roman" w:cs="Times New Roman"/>
          <w:color w:val="auto"/>
          <w:sz w:val="32"/>
          <w:szCs w:val="32"/>
          <w:highlight w:val="none"/>
          <w:lang w:eastAsia="zh-CN"/>
        </w:rPr>
        <w:t>5 本项目仪器设备采购清单</w:t>
      </w:r>
      <w:bookmarkEnd w:id="23"/>
    </w:p>
    <w:tbl>
      <w:tblPr>
        <w:tblStyle w:val="18"/>
        <w:tblW w:w="8331" w:type="dxa"/>
        <w:tblInd w:w="0" w:type="dxa"/>
        <w:tblLayout w:type="fixed"/>
        <w:tblCellMar>
          <w:top w:w="0" w:type="dxa"/>
          <w:left w:w="108" w:type="dxa"/>
          <w:bottom w:w="0" w:type="dxa"/>
          <w:right w:w="108" w:type="dxa"/>
        </w:tblCellMar>
      </w:tblPr>
      <w:tblGrid>
        <w:gridCol w:w="811"/>
        <w:gridCol w:w="1510"/>
        <w:gridCol w:w="1330"/>
        <w:gridCol w:w="1439"/>
        <w:gridCol w:w="2201"/>
        <w:gridCol w:w="1040"/>
      </w:tblGrid>
      <w:tr>
        <w:tblPrEx>
          <w:tblCellMar>
            <w:top w:w="0" w:type="dxa"/>
            <w:left w:w="108" w:type="dxa"/>
            <w:bottom w:w="0" w:type="dxa"/>
            <w:right w:w="108" w:type="dxa"/>
          </w:tblCellMar>
        </w:tblPrEx>
        <w:trPr>
          <w:trHeight w:val="550" w:hRule="atLeast"/>
          <w:tblHeader/>
        </w:trPr>
        <w:tc>
          <w:tcPr>
            <w:tcW w:w="8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rPr>
                <w:b/>
                <w:color w:val="000000"/>
                <w:kern w:val="0"/>
                <w:sz w:val="24"/>
                <w:szCs w:val="24"/>
              </w:rPr>
            </w:pPr>
            <w:r>
              <w:rPr>
                <w:b/>
                <w:color w:val="000000"/>
                <w:kern w:val="0"/>
                <w:sz w:val="24"/>
                <w:szCs w:val="24"/>
                <w:lang w:bidi="ar"/>
              </w:rPr>
              <w:t>序号</w:t>
            </w:r>
          </w:p>
        </w:tc>
        <w:tc>
          <w:tcPr>
            <w:tcW w:w="15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rPr>
                <w:b/>
                <w:color w:val="000000"/>
                <w:kern w:val="0"/>
                <w:sz w:val="24"/>
                <w:szCs w:val="24"/>
              </w:rPr>
            </w:pPr>
            <w:r>
              <w:rPr>
                <w:b/>
                <w:color w:val="000000"/>
                <w:kern w:val="0"/>
                <w:sz w:val="24"/>
                <w:szCs w:val="24"/>
                <w:lang w:bidi="ar"/>
              </w:rPr>
              <w:t>物料名称</w:t>
            </w:r>
          </w:p>
        </w:tc>
        <w:tc>
          <w:tcPr>
            <w:tcW w:w="1330" w:type="dxa"/>
            <w:tcBorders>
              <w:top w:val="single" w:color="000000" w:sz="4" w:space="0"/>
              <w:left w:val="single" w:color="000000" w:sz="4" w:space="0"/>
              <w:bottom w:val="single" w:color="000000" w:sz="4" w:space="0"/>
              <w:right w:val="single" w:color="000000" w:sz="4" w:space="0"/>
            </w:tcBorders>
            <w:vAlign w:val="center"/>
          </w:tcPr>
          <w:p>
            <w:pPr>
              <w:widowControl/>
              <w:jc w:val="center"/>
              <w:rPr>
                <w:b/>
                <w:color w:val="000000"/>
                <w:kern w:val="0"/>
                <w:sz w:val="24"/>
                <w:szCs w:val="24"/>
                <w:lang w:bidi="ar"/>
              </w:rPr>
            </w:pPr>
            <w:r>
              <w:rPr>
                <w:b/>
                <w:color w:val="000000"/>
                <w:kern w:val="0"/>
                <w:sz w:val="24"/>
                <w:szCs w:val="24"/>
                <w:lang w:bidi="ar"/>
              </w:rPr>
              <w:t>数量</w:t>
            </w:r>
          </w:p>
        </w:tc>
        <w:tc>
          <w:tcPr>
            <w:tcW w:w="1439" w:type="dxa"/>
            <w:tcBorders>
              <w:top w:val="single" w:color="000000" w:sz="4" w:space="0"/>
              <w:left w:val="single" w:color="000000" w:sz="4" w:space="0"/>
              <w:bottom w:val="single" w:color="000000" w:sz="4" w:space="0"/>
              <w:right w:val="single" w:color="000000" w:sz="4" w:space="0"/>
            </w:tcBorders>
            <w:vAlign w:val="center"/>
          </w:tcPr>
          <w:p>
            <w:pPr>
              <w:widowControl/>
              <w:jc w:val="center"/>
              <w:rPr>
                <w:b/>
                <w:color w:val="000000"/>
                <w:kern w:val="0"/>
                <w:sz w:val="24"/>
                <w:szCs w:val="24"/>
                <w:lang w:bidi="ar"/>
              </w:rPr>
            </w:pPr>
            <w:r>
              <w:rPr>
                <w:b/>
                <w:color w:val="000000"/>
                <w:kern w:val="0"/>
                <w:sz w:val="24"/>
                <w:szCs w:val="24"/>
                <w:lang w:bidi="ar"/>
              </w:rPr>
              <w:t>单位</w:t>
            </w:r>
          </w:p>
        </w:tc>
        <w:tc>
          <w:tcPr>
            <w:tcW w:w="220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hint="default" w:eastAsia="宋体"/>
                <w:b/>
                <w:color w:val="000000"/>
                <w:kern w:val="0"/>
                <w:sz w:val="24"/>
                <w:szCs w:val="24"/>
                <w:lang w:val="en-US" w:eastAsia="zh-CN"/>
              </w:rPr>
            </w:pPr>
            <w:r>
              <w:rPr>
                <w:rFonts w:hint="eastAsia"/>
                <w:b/>
                <w:color w:val="000000"/>
                <w:kern w:val="0"/>
                <w:sz w:val="24"/>
                <w:szCs w:val="24"/>
                <w:lang w:val="en-US" w:eastAsia="zh-CN" w:bidi="ar"/>
              </w:rPr>
              <w:t>品牌型号</w:t>
            </w:r>
          </w:p>
        </w:tc>
        <w:tc>
          <w:tcPr>
            <w:tcW w:w="10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rPr>
                <w:b/>
                <w:color w:val="000000"/>
                <w:kern w:val="0"/>
                <w:sz w:val="24"/>
                <w:szCs w:val="24"/>
              </w:rPr>
            </w:pPr>
            <w:r>
              <w:rPr>
                <w:rFonts w:hint="eastAsia"/>
                <w:b/>
                <w:color w:val="000000"/>
                <w:kern w:val="0"/>
                <w:sz w:val="24"/>
                <w:szCs w:val="24"/>
                <w:lang w:bidi="ar"/>
              </w:rPr>
              <w:t>检定</w:t>
            </w:r>
          </w:p>
        </w:tc>
      </w:tr>
      <w:tr>
        <w:tblPrEx>
          <w:tblCellMar>
            <w:top w:w="0" w:type="dxa"/>
            <w:left w:w="108" w:type="dxa"/>
            <w:bottom w:w="0" w:type="dxa"/>
            <w:right w:w="108" w:type="dxa"/>
          </w:tblCellMar>
        </w:tblPrEx>
        <w:trPr>
          <w:trHeight w:val="487" w:hRule="atLeast"/>
        </w:trPr>
        <w:tc>
          <w:tcPr>
            <w:tcW w:w="81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rPr>
                <w:color w:val="000000"/>
                <w:kern w:val="0"/>
                <w:sz w:val="22"/>
              </w:rPr>
            </w:pPr>
            <w:r>
              <w:rPr>
                <w:color w:val="000000"/>
                <w:kern w:val="0"/>
                <w:sz w:val="22"/>
                <w:lang w:bidi="ar"/>
              </w:rPr>
              <w:t>1</w:t>
            </w:r>
          </w:p>
        </w:tc>
        <w:tc>
          <w:tcPr>
            <w:tcW w:w="15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rPr>
                <w:rFonts w:hint="eastAsia" w:eastAsia="宋体"/>
                <w:color w:val="000000"/>
                <w:kern w:val="0"/>
                <w:sz w:val="22"/>
                <w:lang w:eastAsia="zh-CN"/>
              </w:rPr>
            </w:pPr>
            <w:r>
              <w:rPr>
                <w:rFonts w:hint="eastAsia"/>
                <w:color w:val="000000"/>
                <w:kern w:val="0"/>
                <w:sz w:val="22"/>
                <w:lang w:val="en-US" w:eastAsia="zh-CN"/>
              </w:rPr>
              <w:t>闪点仪</w:t>
            </w:r>
          </w:p>
        </w:tc>
        <w:tc>
          <w:tcPr>
            <w:tcW w:w="1330"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eastAsia="宋体"/>
                <w:color w:val="000000"/>
                <w:kern w:val="0"/>
                <w:sz w:val="22"/>
                <w:lang w:val="en-US" w:eastAsia="zh-CN"/>
              </w:rPr>
            </w:pPr>
            <w:r>
              <w:rPr>
                <w:rFonts w:hint="eastAsia"/>
                <w:color w:val="000000"/>
                <w:kern w:val="0"/>
                <w:sz w:val="22"/>
                <w:lang w:val="en-US" w:eastAsia="zh-CN"/>
              </w:rPr>
              <w:t>1</w:t>
            </w:r>
          </w:p>
        </w:tc>
        <w:tc>
          <w:tcPr>
            <w:tcW w:w="1439" w:type="dxa"/>
            <w:tcBorders>
              <w:top w:val="single" w:color="000000" w:sz="4" w:space="0"/>
              <w:left w:val="single" w:color="000000" w:sz="4" w:space="0"/>
              <w:bottom w:val="single" w:color="000000" w:sz="4" w:space="0"/>
              <w:right w:val="single" w:color="000000" w:sz="4" w:space="0"/>
            </w:tcBorders>
            <w:vAlign w:val="center"/>
          </w:tcPr>
          <w:p>
            <w:pPr>
              <w:widowControl/>
              <w:jc w:val="center"/>
              <w:rPr>
                <w:color w:val="000000"/>
                <w:kern w:val="0"/>
                <w:sz w:val="22"/>
              </w:rPr>
            </w:pPr>
            <w:r>
              <w:rPr>
                <w:color w:val="000000"/>
                <w:kern w:val="0"/>
                <w:sz w:val="22"/>
                <w:lang w:bidi="ar"/>
              </w:rPr>
              <w:t>台</w:t>
            </w:r>
          </w:p>
        </w:tc>
        <w:tc>
          <w:tcPr>
            <w:tcW w:w="220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rPr>
                <w:rFonts w:hint="default" w:eastAsia="宋体"/>
                <w:color w:val="000000"/>
                <w:kern w:val="0"/>
                <w:sz w:val="22"/>
                <w:lang w:val="en-US" w:eastAsia="zh-CN" w:bidi="ar"/>
              </w:rPr>
            </w:pPr>
            <w:r>
              <w:rPr>
                <w:rFonts w:hint="eastAsia"/>
                <w:color w:val="000000"/>
                <w:kern w:val="0"/>
                <w:sz w:val="22"/>
                <w:lang w:val="en-US" w:eastAsia="zh-CN"/>
              </w:rPr>
              <w:t>安东帕ABA４</w:t>
            </w:r>
          </w:p>
        </w:tc>
        <w:tc>
          <w:tcPr>
            <w:tcW w:w="10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rPr>
                <w:color w:val="000000"/>
                <w:kern w:val="0"/>
                <w:sz w:val="22"/>
              </w:rPr>
            </w:pPr>
            <w:r>
              <w:rPr>
                <w:rFonts w:hint="default" w:cs="Times New Roman"/>
                <w:color w:val="000000"/>
                <w:kern w:val="0"/>
                <w:sz w:val="22"/>
              </w:rPr>
              <w:t>检定</w:t>
            </w:r>
          </w:p>
        </w:tc>
      </w:tr>
    </w:tbl>
    <w:p>
      <w:pPr>
        <w:pStyle w:val="40"/>
        <w:ind w:left="641" w:leftChars="0" w:hanging="641" w:hangingChars="304"/>
        <w:rPr>
          <w:rFonts w:hint="eastAsia"/>
          <w:b/>
          <w:bCs/>
          <w:color w:val="auto"/>
          <w:highlight w:val="none"/>
        </w:rPr>
      </w:pPr>
      <w:r>
        <w:rPr>
          <w:rFonts w:hint="eastAsia"/>
          <w:b/>
          <w:bCs/>
          <w:color w:val="auto"/>
          <w:highlight w:val="none"/>
        </w:rPr>
        <w:t>备注：</w:t>
      </w:r>
    </w:p>
    <w:p>
      <w:pPr>
        <w:pStyle w:val="40"/>
        <w:numPr>
          <w:ilvl w:val="0"/>
          <w:numId w:val="7"/>
        </w:numPr>
        <w:ind w:left="626" w:leftChars="0" w:hanging="626" w:hangingChars="297"/>
        <w:rPr>
          <w:rFonts w:hint="eastAsia"/>
          <w:b/>
          <w:bCs/>
          <w:color w:val="auto"/>
          <w:highlight w:val="none"/>
        </w:rPr>
      </w:pPr>
      <w:r>
        <w:rPr>
          <w:rFonts w:hint="eastAsia"/>
          <w:b/>
          <w:bCs/>
          <w:color w:val="auto"/>
          <w:highlight w:val="none"/>
        </w:rPr>
        <w:t>★</w:t>
      </w:r>
      <w:r>
        <w:rPr>
          <w:rFonts w:hint="eastAsia"/>
          <w:b/>
          <w:bCs/>
          <w:color w:val="auto"/>
          <w:highlight w:val="none"/>
          <w:lang w:val="en-US" w:eastAsia="zh-CN"/>
        </w:rPr>
        <w:t>本次采购仪器品牌型号为安东帕ABA４，非此品牌型号为无效报价。</w:t>
      </w:r>
    </w:p>
    <w:p>
      <w:pPr>
        <w:pStyle w:val="40"/>
        <w:numPr>
          <w:ilvl w:val="0"/>
          <w:numId w:val="7"/>
        </w:numPr>
        <w:ind w:left="626" w:leftChars="0" w:hanging="626" w:hangingChars="297"/>
        <w:rPr>
          <w:rFonts w:hint="eastAsia"/>
          <w:b/>
          <w:bCs/>
          <w:color w:val="auto"/>
          <w:highlight w:val="none"/>
        </w:rPr>
      </w:pPr>
      <w:r>
        <w:rPr>
          <w:rFonts w:hint="eastAsia"/>
          <w:b/>
          <w:bCs/>
          <w:color w:val="auto"/>
          <w:highlight w:val="none"/>
        </w:rPr>
        <w:t>本表中所列所有仪器设备的配件数量，以第6项仪器设备详细技术参数要求中的基本配置为准，包括但不限于以下内容。</w:t>
      </w:r>
    </w:p>
    <w:p>
      <w:pPr>
        <w:pStyle w:val="40"/>
        <w:numPr>
          <w:ilvl w:val="0"/>
          <w:numId w:val="7"/>
        </w:numPr>
        <w:ind w:left="626" w:leftChars="0" w:hanging="626" w:hangingChars="297"/>
        <w:rPr>
          <w:rFonts w:hint="default"/>
          <w:b/>
          <w:bCs/>
          <w:color w:val="auto"/>
          <w:highlight w:val="none"/>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r>
        <w:rPr>
          <w:rFonts w:hint="eastAsia"/>
          <w:b/>
          <w:bCs/>
          <w:color w:val="auto"/>
          <w:highlight w:val="none"/>
        </w:rPr>
        <w:t>★</w:t>
      </w:r>
      <w:r>
        <w:rPr>
          <w:rFonts w:hint="eastAsia"/>
          <w:b/>
          <w:bCs/>
          <w:color w:val="auto"/>
          <w:highlight w:val="none"/>
          <w:lang w:val="en-US" w:eastAsia="zh-CN"/>
        </w:rPr>
        <w:t>如仪器相关配件耗材为仪器厂家定制，非普适品，本技术规格书如未提及，成交人也应配置基本用量，保证项目能够开展。</w:t>
      </w:r>
    </w:p>
    <w:p>
      <w:pPr>
        <w:jc w:val="left"/>
        <w:outlineLvl w:val="0"/>
        <w:rPr>
          <w:b/>
          <w:bCs/>
          <w:color w:val="auto"/>
          <w:sz w:val="28"/>
          <w:szCs w:val="28"/>
          <w:highlight w:val="none"/>
        </w:rPr>
      </w:pPr>
      <w:bookmarkStart w:id="24" w:name="_Toc18015"/>
      <w:r>
        <w:rPr>
          <w:rFonts w:hint="eastAsia"/>
          <w:b/>
          <w:bCs/>
          <w:color w:val="auto"/>
          <w:sz w:val="28"/>
          <w:szCs w:val="28"/>
          <w:highlight w:val="none"/>
        </w:rPr>
        <w:t xml:space="preserve">6 </w:t>
      </w:r>
      <w:r>
        <w:rPr>
          <w:rFonts w:hint="default" w:ascii="Times New Roman" w:hAnsi="Times New Roman" w:cs="Times New Roman"/>
          <w:b/>
          <w:bCs/>
          <w:color w:val="auto"/>
          <w:sz w:val="28"/>
          <w:szCs w:val="28"/>
          <w:highlight w:val="none"/>
          <w:lang w:val="en-US" w:eastAsia="zh-CN"/>
        </w:rPr>
        <w:t>阿贝尔（ABA４）闪点仪技术参数</w:t>
      </w:r>
      <w:bookmarkEnd w:id="24"/>
    </w:p>
    <w:p>
      <w:pPr>
        <w:keepNext w:val="0"/>
        <w:keepLines w:val="0"/>
        <w:pageBreakBefore w:val="0"/>
        <w:widowControl w:val="0"/>
        <w:numPr>
          <w:ilvl w:val="0"/>
          <w:numId w:val="8"/>
        </w:numPr>
        <w:kinsoku/>
        <w:wordWrap/>
        <w:overflowPunct/>
        <w:topLinePunct w:val="0"/>
        <w:autoSpaceDE/>
        <w:autoSpaceDN/>
        <w:bidi w:val="0"/>
        <w:adjustRightInd/>
        <w:snapToGrid/>
        <w:spacing w:line="360" w:lineRule="auto"/>
        <w:ind w:left="425" w:hanging="425"/>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主要用途：</w:t>
      </w:r>
      <w:r>
        <w:rPr>
          <w:rFonts w:hint="default" w:ascii="Times New Roman" w:hAnsi="Times New Roman" w:cs="Times New Roman"/>
          <w:sz w:val="24"/>
          <w:szCs w:val="24"/>
          <w:lang w:val="en-US" w:eastAsia="zh-CN"/>
        </w:rPr>
        <w:t>物料闭口闪点检测</w:t>
      </w:r>
      <w:r>
        <w:rPr>
          <w:rFonts w:hint="default" w:cs="Times New Roman"/>
          <w:color w:val="auto"/>
          <w:sz w:val="24"/>
          <w:highlight w:val="none"/>
          <w:lang w:eastAsia="zh-CN"/>
        </w:rPr>
        <w:t>。</w:t>
      </w:r>
    </w:p>
    <w:p>
      <w:pPr>
        <w:keepNext w:val="0"/>
        <w:keepLines w:val="0"/>
        <w:pageBreakBefore w:val="0"/>
        <w:widowControl w:val="0"/>
        <w:numPr>
          <w:ilvl w:val="0"/>
          <w:numId w:val="8"/>
        </w:numPr>
        <w:kinsoku/>
        <w:wordWrap/>
        <w:overflowPunct/>
        <w:topLinePunct w:val="0"/>
        <w:autoSpaceDE/>
        <w:autoSpaceDN/>
        <w:bidi w:val="0"/>
        <w:adjustRightInd/>
        <w:snapToGrid/>
        <w:spacing w:line="360" w:lineRule="auto"/>
        <w:ind w:left="425" w:hanging="425"/>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基本配置：</w:t>
      </w:r>
    </w:p>
    <w:tbl>
      <w:tblPr>
        <w:tblStyle w:val="19"/>
        <w:tblW w:w="0" w:type="auto"/>
        <w:tblInd w:w="18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89"/>
        <w:gridCol w:w="4438"/>
        <w:gridCol w:w="1196"/>
        <w:gridCol w:w="15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0"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序号</w:t>
            </w:r>
          </w:p>
        </w:tc>
        <w:tc>
          <w:tcPr>
            <w:tcW w:w="4442"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配置项目</w:t>
            </w:r>
          </w:p>
        </w:tc>
        <w:tc>
          <w:tcPr>
            <w:tcW w:w="1196"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数量</w:t>
            </w:r>
          </w:p>
        </w:tc>
        <w:tc>
          <w:tcPr>
            <w:tcW w:w="1513"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0"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1</w:t>
            </w:r>
          </w:p>
        </w:tc>
        <w:tc>
          <w:tcPr>
            <w:tcW w:w="4442"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阿贝尔闪点仪</w:t>
            </w:r>
          </w:p>
        </w:tc>
        <w:tc>
          <w:tcPr>
            <w:tcW w:w="1196"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1套</w:t>
            </w:r>
          </w:p>
        </w:tc>
        <w:tc>
          <w:tcPr>
            <w:tcW w:w="1513" w:type="dxa"/>
            <w:vAlign w:val="center"/>
          </w:tcPr>
          <w:p>
            <w:pPr>
              <w:pStyle w:val="40"/>
              <w:spacing w:after="0" w:line="240" w:lineRule="auto"/>
              <w:ind w:left="0"/>
              <w:jc w:val="center"/>
              <w:rPr>
                <w:rFonts w:ascii="Times New Roman" w:hAnsi="Times New Roman"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0"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2</w:t>
            </w:r>
          </w:p>
        </w:tc>
        <w:tc>
          <w:tcPr>
            <w:tcW w:w="4442"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标准测试杯</w:t>
            </w:r>
          </w:p>
        </w:tc>
        <w:tc>
          <w:tcPr>
            <w:tcW w:w="1196"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1只</w:t>
            </w:r>
          </w:p>
        </w:tc>
        <w:tc>
          <w:tcPr>
            <w:tcW w:w="1513" w:type="dxa"/>
            <w:vAlign w:val="center"/>
          </w:tcPr>
          <w:p>
            <w:pPr>
              <w:pStyle w:val="40"/>
              <w:spacing w:after="0" w:line="240" w:lineRule="auto"/>
              <w:ind w:left="0"/>
              <w:jc w:val="center"/>
              <w:rPr>
                <w:rFonts w:ascii="Times New Roman" w:hAnsi="Times New Roman"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0"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3</w:t>
            </w:r>
          </w:p>
        </w:tc>
        <w:tc>
          <w:tcPr>
            <w:tcW w:w="4442"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全金属多功能闪点传感器</w:t>
            </w:r>
          </w:p>
        </w:tc>
        <w:tc>
          <w:tcPr>
            <w:tcW w:w="1196"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1只</w:t>
            </w:r>
          </w:p>
        </w:tc>
        <w:tc>
          <w:tcPr>
            <w:tcW w:w="1513" w:type="dxa"/>
            <w:vAlign w:val="center"/>
          </w:tcPr>
          <w:p>
            <w:pPr>
              <w:pStyle w:val="40"/>
              <w:spacing w:after="0" w:line="240" w:lineRule="auto"/>
              <w:ind w:left="0"/>
              <w:jc w:val="center"/>
              <w:rPr>
                <w:rFonts w:ascii="Times New Roman" w:hAnsi="Times New Roman"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0"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4</w:t>
            </w:r>
          </w:p>
        </w:tc>
        <w:tc>
          <w:tcPr>
            <w:tcW w:w="4442"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电点火头</w:t>
            </w:r>
          </w:p>
        </w:tc>
        <w:tc>
          <w:tcPr>
            <w:tcW w:w="1196"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1只</w:t>
            </w:r>
          </w:p>
        </w:tc>
        <w:tc>
          <w:tcPr>
            <w:tcW w:w="1513" w:type="dxa"/>
            <w:vAlign w:val="center"/>
          </w:tcPr>
          <w:p>
            <w:pPr>
              <w:pStyle w:val="40"/>
              <w:spacing w:after="0" w:line="240" w:lineRule="auto"/>
              <w:ind w:left="0"/>
              <w:jc w:val="center"/>
              <w:rPr>
                <w:rFonts w:ascii="Times New Roman" w:hAnsi="Times New Roman"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0"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5</w:t>
            </w:r>
          </w:p>
        </w:tc>
        <w:tc>
          <w:tcPr>
            <w:tcW w:w="4442"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气点火头</w:t>
            </w:r>
          </w:p>
        </w:tc>
        <w:tc>
          <w:tcPr>
            <w:tcW w:w="1196"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1只</w:t>
            </w:r>
          </w:p>
        </w:tc>
        <w:tc>
          <w:tcPr>
            <w:tcW w:w="1513" w:type="dxa"/>
            <w:vAlign w:val="center"/>
          </w:tcPr>
          <w:p>
            <w:pPr>
              <w:pStyle w:val="40"/>
              <w:spacing w:after="0" w:line="240" w:lineRule="auto"/>
              <w:ind w:left="0"/>
              <w:jc w:val="center"/>
              <w:rPr>
                <w:rFonts w:ascii="Times New Roman" w:hAnsi="Times New Roman"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0" w:type="dxa"/>
            <w:vAlign w:val="center"/>
          </w:tcPr>
          <w:p>
            <w:pPr>
              <w:pStyle w:val="40"/>
              <w:spacing w:after="0" w:line="240" w:lineRule="auto"/>
              <w:ind w:left="0"/>
              <w:jc w:val="center"/>
              <w:rPr>
                <w:rFonts w:ascii="Times New Roman" w:hAnsi="Times New Roman" w:eastAsia="仿宋"/>
                <w:sz w:val="24"/>
                <w:szCs w:val="24"/>
              </w:rPr>
            </w:pPr>
            <w:r>
              <w:rPr>
                <w:rFonts w:ascii="Times New Roman" w:hAnsi="Times New Roman" w:eastAsia="仿宋"/>
                <w:sz w:val="24"/>
                <w:szCs w:val="24"/>
              </w:rPr>
              <w:t>6</w:t>
            </w:r>
          </w:p>
        </w:tc>
        <w:tc>
          <w:tcPr>
            <w:tcW w:w="4442"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带搅拌桨的杯盖</w:t>
            </w:r>
          </w:p>
        </w:tc>
        <w:tc>
          <w:tcPr>
            <w:tcW w:w="1196"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1只</w:t>
            </w:r>
          </w:p>
        </w:tc>
        <w:tc>
          <w:tcPr>
            <w:tcW w:w="1513" w:type="dxa"/>
            <w:vAlign w:val="center"/>
          </w:tcPr>
          <w:p>
            <w:pPr>
              <w:pStyle w:val="40"/>
              <w:spacing w:after="0" w:line="240" w:lineRule="auto"/>
              <w:ind w:left="0"/>
              <w:jc w:val="center"/>
              <w:rPr>
                <w:rFonts w:ascii="Times New Roman" w:hAnsi="Times New Roman"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0"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7</w:t>
            </w:r>
          </w:p>
        </w:tc>
        <w:tc>
          <w:tcPr>
            <w:tcW w:w="4442"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连接套件</w:t>
            </w:r>
          </w:p>
        </w:tc>
        <w:tc>
          <w:tcPr>
            <w:tcW w:w="1196"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1套</w:t>
            </w:r>
          </w:p>
        </w:tc>
        <w:tc>
          <w:tcPr>
            <w:tcW w:w="1513" w:type="dxa"/>
            <w:vAlign w:val="center"/>
          </w:tcPr>
          <w:p>
            <w:pPr>
              <w:pStyle w:val="40"/>
              <w:spacing w:after="0" w:line="240" w:lineRule="auto"/>
              <w:ind w:left="0"/>
              <w:jc w:val="center"/>
              <w:rPr>
                <w:rFonts w:ascii="Times New Roman" w:hAnsi="Times New Roman"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0" w:type="dxa"/>
            <w:vAlign w:val="center"/>
          </w:tcPr>
          <w:p>
            <w:pPr>
              <w:pStyle w:val="40"/>
              <w:spacing w:after="0" w:line="240" w:lineRule="auto"/>
              <w:ind w:left="0"/>
              <w:jc w:val="center"/>
              <w:rPr>
                <w:rFonts w:ascii="Times New Roman" w:hAnsi="Times New Roman" w:eastAsia="仿宋"/>
                <w:sz w:val="24"/>
                <w:szCs w:val="24"/>
              </w:rPr>
            </w:pPr>
            <w:r>
              <w:rPr>
                <w:rFonts w:ascii="Times New Roman" w:hAnsi="Times New Roman" w:eastAsia="仿宋"/>
                <w:sz w:val="24"/>
                <w:szCs w:val="24"/>
              </w:rPr>
              <w:t>8</w:t>
            </w:r>
          </w:p>
        </w:tc>
        <w:tc>
          <w:tcPr>
            <w:tcW w:w="4442"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气体点火组件</w:t>
            </w:r>
          </w:p>
        </w:tc>
        <w:tc>
          <w:tcPr>
            <w:tcW w:w="1196"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1套</w:t>
            </w:r>
          </w:p>
        </w:tc>
        <w:tc>
          <w:tcPr>
            <w:tcW w:w="1513" w:type="dxa"/>
            <w:vAlign w:val="center"/>
          </w:tcPr>
          <w:p>
            <w:pPr>
              <w:pStyle w:val="40"/>
              <w:spacing w:after="0" w:line="240" w:lineRule="auto"/>
              <w:ind w:left="0"/>
              <w:jc w:val="center"/>
              <w:rPr>
                <w:rFonts w:ascii="Times New Roman" w:hAnsi="Times New Roman"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0" w:type="dxa"/>
            <w:vAlign w:val="center"/>
          </w:tcPr>
          <w:p>
            <w:pPr>
              <w:pStyle w:val="40"/>
              <w:spacing w:after="0" w:line="240" w:lineRule="auto"/>
              <w:ind w:left="0"/>
              <w:jc w:val="center"/>
              <w:rPr>
                <w:rFonts w:ascii="Times New Roman" w:hAnsi="Times New Roman" w:eastAsia="仿宋"/>
                <w:sz w:val="24"/>
                <w:szCs w:val="24"/>
              </w:rPr>
            </w:pPr>
            <w:r>
              <w:rPr>
                <w:rFonts w:ascii="Times New Roman" w:hAnsi="Times New Roman" w:eastAsia="仿宋"/>
                <w:sz w:val="24"/>
                <w:szCs w:val="24"/>
              </w:rPr>
              <w:t>9</w:t>
            </w:r>
          </w:p>
        </w:tc>
        <w:tc>
          <w:tcPr>
            <w:tcW w:w="4442"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循环冷浴</w:t>
            </w:r>
          </w:p>
        </w:tc>
        <w:tc>
          <w:tcPr>
            <w:tcW w:w="1196" w:type="dxa"/>
            <w:vAlign w:val="center"/>
          </w:tcPr>
          <w:p>
            <w:pPr>
              <w:pStyle w:val="40"/>
              <w:spacing w:after="0" w:line="240" w:lineRule="auto"/>
              <w:ind w:left="0"/>
              <w:jc w:val="center"/>
              <w:rPr>
                <w:rFonts w:ascii="Times New Roman" w:hAnsi="Times New Roman" w:eastAsia="仿宋"/>
                <w:sz w:val="24"/>
                <w:szCs w:val="24"/>
              </w:rPr>
            </w:pPr>
            <w:r>
              <w:rPr>
                <w:rFonts w:hint="default" w:ascii="Times New Roman" w:hAnsi="Times New Roman" w:eastAsia="仿宋"/>
                <w:sz w:val="24"/>
                <w:szCs w:val="24"/>
              </w:rPr>
              <w:t>1台</w:t>
            </w:r>
          </w:p>
        </w:tc>
        <w:tc>
          <w:tcPr>
            <w:tcW w:w="1513" w:type="dxa"/>
            <w:vAlign w:val="center"/>
          </w:tcPr>
          <w:p>
            <w:pPr>
              <w:pStyle w:val="40"/>
              <w:spacing w:after="0" w:line="240" w:lineRule="auto"/>
              <w:ind w:left="0"/>
              <w:jc w:val="center"/>
              <w:rPr>
                <w:rFonts w:ascii="Times New Roman" w:hAnsi="Times New Roman"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90" w:type="dxa"/>
            <w:vAlign w:val="center"/>
          </w:tcPr>
          <w:p>
            <w:pPr>
              <w:pStyle w:val="40"/>
              <w:spacing w:after="0" w:line="240" w:lineRule="auto"/>
              <w:ind w:left="0"/>
              <w:jc w:val="center"/>
              <w:rPr>
                <w:rFonts w:ascii="Times New Roman" w:hAnsi="Times New Roman" w:eastAsia="仿宋"/>
                <w:sz w:val="24"/>
                <w:szCs w:val="24"/>
              </w:rPr>
            </w:pPr>
            <w:r>
              <w:rPr>
                <w:rFonts w:ascii="Times New Roman" w:hAnsi="Times New Roman" w:eastAsia="仿宋"/>
                <w:sz w:val="24"/>
                <w:szCs w:val="24"/>
              </w:rPr>
              <w:t>10</w:t>
            </w:r>
          </w:p>
        </w:tc>
        <w:tc>
          <w:tcPr>
            <w:tcW w:w="4442" w:type="dxa"/>
            <w:vAlign w:val="center"/>
          </w:tcPr>
          <w:p>
            <w:pPr>
              <w:pStyle w:val="40"/>
              <w:spacing w:after="0" w:line="240" w:lineRule="auto"/>
              <w:ind w:left="0"/>
              <w:jc w:val="center"/>
              <w:rPr>
                <w:rFonts w:hint="default" w:ascii="Times New Roman" w:hAnsi="Times New Roman" w:eastAsia="仿宋"/>
                <w:sz w:val="24"/>
                <w:szCs w:val="24"/>
              </w:rPr>
            </w:pPr>
            <w:r>
              <w:rPr>
                <w:rFonts w:hint="default" w:ascii="Times New Roman" w:hAnsi="Times New Roman" w:eastAsia="仿宋"/>
                <w:sz w:val="24"/>
                <w:szCs w:val="24"/>
              </w:rPr>
              <w:t>气瓶（5</w:t>
            </w:r>
            <w:r>
              <w:rPr>
                <w:rFonts w:ascii="Times New Roman" w:hAnsi="Times New Roman" w:eastAsia="仿宋"/>
                <w:sz w:val="24"/>
                <w:szCs w:val="24"/>
              </w:rPr>
              <w:t>00</w:t>
            </w:r>
            <w:r>
              <w:rPr>
                <w:rFonts w:hint="default" w:ascii="Times New Roman" w:hAnsi="Times New Roman" w:eastAsia="仿宋"/>
                <w:sz w:val="24"/>
                <w:szCs w:val="24"/>
              </w:rPr>
              <w:t>ml）</w:t>
            </w:r>
          </w:p>
        </w:tc>
        <w:tc>
          <w:tcPr>
            <w:tcW w:w="1196" w:type="dxa"/>
            <w:vAlign w:val="center"/>
          </w:tcPr>
          <w:p>
            <w:pPr>
              <w:pStyle w:val="40"/>
              <w:spacing w:after="0" w:line="240" w:lineRule="auto"/>
              <w:ind w:left="0"/>
              <w:jc w:val="center"/>
              <w:rPr>
                <w:rFonts w:hint="default" w:ascii="Times New Roman" w:hAnsi="Times New Roman" w:eastAsia="仿宋"/>
                <w:sz w:val="24"/>
                <w:szCs w:val="24"/>
              </w:rPr>
            </w:pPr>
            <w:r>
              <w:rPr>
                <w:rFonts w:ascii="Times New Roman" w:hAnsi="Times New Roman" w:eastAsia="仿宋"/>
                <w:sz w:val="24"/>
                <w:szCs w:val="24"/>
              </w:rPr>
              <w:t>1</w:t>
            </w:r>
            <w:r>
              <w:rPr>
                <w:rFonts w:hint="default" w:ascii="Times New Roman" w:hAnsi="Times New Roman" w:eastAsia="仿宋"/>
                <w:sz w:val="24"/>
                <w:szCs w:val="24"/>
              </w:rPr>
              <w:t>只</w:t>
            </w:r>
          </w:p>
        </w:tc>
        <w:tc>
          <w:tcPr>
            <w:tcW w:w="1513" w:type="dxa"/>
            <w:vAlign w:val="center"/>
          </w:tcPr>
          <w:p>
            <w:pPr>
              <w:pStyle w:val="40"/>
              <w:spacing w:after="0" w:line="240" w:lineRule="auto"/>
              <w:ind w:left="0"/>
              <w:jc w:val="center"/>
              <w:rPr>
                <w:rFonts w:ascii="Times New Roman" w:hAnsi="Times New Roman" w:eastAsia="仿宋"/>
                <w:sz w:val="24"/>
                <w:szCs w:val="24"/>
              </w:rPr>
            </w:pPr>
          </w:p>
        </w:tc>
      </w:tr>
    </w:tbl>
    <w:p>
      <w:pPr>
        <w:keepNext w:val="0"/>
        <w:keepLines w:val="0"/>
        <w:pageBreakBefore w:val="0"/>
        <w:widowControl w:val="0"/>
        <w:numPr>
          <w:ilvl w:val="0"/>
          <w:numId w:val="8"/>
        </w:numPr>
        <w:kinsoku/>
        <w:wordWrap/>
        <w:overflowPunct/>
        <w:topLinePunct w:val="0"/>
        <w:autoSpaceDE/>
        <w:autoSpaceDN/>
        <w:bidi w:val="0"/>
        <w:spacing w:line="360" w:lineRule="auto"/>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技术参数要求：</w:t>
      </w:r>
    </w:p>
    <w:p>
      <w:pPr>
        <w:pStyle w:val="9"/>
        <w:keepNext w:val="0"/>
        <w:keepLines w:val="0"/>
        <w:pageBreakBefore w:val="0"/>
        <w:widowControl w:val="0"/>
        <w:numPr>
          <w:ilvl w:val="0"/>
          <w:numId w:val="9"/>
        </w:numPr>
        <w:tabs>
          <w:tab w:val="left" w:pos="420"/>
          <w:tab w:val="clear" w:pos="312"/>
        </w:tabs>
        <w:kinsoku/>
        <w:wordWrap/>
        <w:overflowPunct/>
        <w:topLinePunct w:val="0"/>
        <w:autoSpaceDE/>
        <w:autoSpaceDN/>
        <w:bidi w:val="0"/>
        <w:adjustRightInd w:val="0"/>
        <w:snapToGrid w:val="0"/>
        <w:spacing w:line="360" w:lineRule="auto"/>
        <w:ind w:left="-10" w:leftChars="-5" w:firstLine="11" w:firstLineChars="0"/>
        <w:textAlignment w:val="auto"/>
        <w:rPr>
          <w:rFonts w:hint="default" w:ascii="Times New Roman" w:hAnsi="Times New Roman" w:eastAsia="宋体" w:cs="Times New Roman"/>
          <w:sz w:val="24"/>
          <w:szCs w:val="24"/>
          <w:lang w:val="en-US" w:eastAsia="zh-CN"/>
        </w:rPr>
      </w:pPr>
      <w:bookmarkStart w:id="25" w:name="OLE_LINK5"/>
      <w:bookmarkStart w:id="26" w:name="OLE_LINK6"/>
      <w:r>
        <w:rPr>
          <w:rFonts w:hint="default" w:ascii="Times New Roman" w:hAnsi="Times New Roman" w:eastAsia="宋体" w:cs="Times New Roman"/>
          <w:sz w:val="24"/>
          <w:szCs w:val="24"/>
          <w:lang w:val="en-US" w:eastAsia="zh-CN"/>
        </w:rPr>
        <w:t>符合标准ISO 13736, IP 170，适合有机溶剂、危废、3号喷气燃料等样品的测试。</w:t>
      </w:r>
    </w:p>
    <w:p>
      <w:pPr>
        <w:pStyle w:val="9"/>
        <w:keepNext w:val="0"/>
        <w:keepLines w:val="0"/>
        <w:pageBreakBefore w:val="0"/>
        <w:widowControl w:val="0"/>
        <w:numPr>
          <w:ilvl w:val="0"/>
          <w:numId w:val="9"/>
        </w:numPr>
        <w:tabs>
          <w:tab w:val="left" w:pos="420"/>
          <w:tab w:val="clear" w:pos="312"/>
        </w:tabs>
        <w:kinsoku/>
        <w:wordWrap/>
        <w:overflowPunct/>
        <w:topLinePunct w:val="0"/>
        <w:autoSpaceDE/>
        <w:autoSpaceDN/>
        <w:bidi w:val="0"/>
        <w:adjustRightInd w:val="0"/>
        <w:snapToGrid w:val="0"/>
        <w:spacing w:line="360" w:lineRule="auto"/>
        <w:ind w:left="-10" w:leftChars="-5" w:firstLine="11" w:firstLineChars="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▲温度范围：（-30 ～ 110）℃。</w:t>
      </w:r>
    </w:p>
    <w:p>
      <w:pPr>
        <w:pStyle w:val="9"/>
        <w:keepNext w:val="0"/>
        <w:keepLines w:val="0"/>
        <w:pageBreakBefore w:val="0"/>
        <w:widowControl w:val="0"/>
        <w:numPr>
          <w:ilvl w:val="0"/>
          <w:numId w:val="9"/>
        </w:numPr>
        <w:tabs>
          <w:tab w:val="left" w:pos="420"/>
          <w:tab w:val="clear" w:pos="312"/>
        </w:tabs>
        <w:kinsoku/>
        <w:wordWrap/>
        <w:overflowPunct/>
        <w:topLinePunct w:val="0"/>
        <w:autoSpaceDE/>
        <w:autoSpaceDN/>
        <w:bidi w:val="0"/>
        <w:adjustRightInd w:val="0"/>
        <w:snapToGrid w:val="0"/>
        <w:spacing w:line="360" w:lineRule="auto"/>
        <w:ind w:left="-10" w:leftChars="-5" w:firstLine="11" w:firstLineChars="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自动点火，自动重点火，自动终点检测。</w:t>
      </w:r>
    </w:p>
    <w:p>
      <w:pPr>
        <w:pStyle w:val="9"/>
        <w:keepNext w:val="0"/>
        <w:keepLines w:val="0"/>
        <w:pageBreakBefore w:val="0"/>
        <w:widowControl w:val="0"/>
        <w:numPr>
          <w:ilvl w:val="0"/>
          <w:numId w:val="9"/>
        </w:numPr>
        <w:tabs>
          <w:tab w:val="left" w:pos="420"/>
          <w:tab w:val="clear" w:pos="312"/>
        </w:tabs>
        <w:kinsoku/>
        <w:wordWrap/>
        <w:overflowPunct/>
        <w:topLinePunct w:val="0"/>
        <w:autoSpaceDE/>
        <w:autoSpaceDN/>
        <w:bidi w:val="0"/>
        <w:adjustRightInd w:val="0"/>
        <w:snapToGrid w:val="0"/>
        <w:spacing w:line="360" w:lineRule="auto"/>
        <w:ind w:left="-10" w:leftChars="-5" w:firstLine="11" w:firstLineChars="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自动过热保护。</w:t>
      </w:r>
    </w:p>
    <w:p>
      <w:pPr>
        <w:pStyle w:val="9"/>
        <w:keepNext w:val="0"/>
        <w:keepLines w:val="0"/>
        <w:pageBreakBefore w:val="0"/>
        <w:widowControl w:val="0"/>
        <w:numPr>
          <w:ilvl w:val="0"/>
          <w:numId w:val="9"/>
        </w:numPr>
        <w:tabs>
          <w:tab w:val="left" w:pos="420"/>
          <w:tab w:val="clear" w:pos="312"/>
        </w:tabs>
        <w:kinsoku/>
        <w:wordWrap/>
        <w:overflowPunct/>
        <w:topLinePunct w:val="0"/>
        <w:autoSpaceDE/>
        <w:autoSpaceDN/>
        <w:bidi w:val="0"/>
        <w:adjustRightInd w:val="0"/>
        <w:snapToGrid w:val="0"/>
        <w:spacing w:line="360" w:lineRule="auto"/>
        <w:ind w:left="-10" w:leftChars="-5" w:firstLine="11" w:firstLineChars="0"/>
        <w:textAlignment w:val="auto"/>
        <w:rPr>
          <w:rFonts w:hint="default" w:ascii="Times New Roman" w:hAnsi="Times New Roman" w:eastAsia="宋体" w:cs="Times New Roman"/>
          <w:sz w:val="24"/>
          <w:szCs w:val="24"/>
          <w:lang w:val="en-US" w:eastAsia="zh-CN"/>
        </w:rPr>
      </w:pPr>
      <w:bookmarkStart w:id="27" w:name="OLE_LINK3"/>
      <w:bookmarkStart w:id="28" w:name="OLE_LINK4"/>
      <w:r>
        <w:rPr>
          <w:rFonts w:hint="default" w:ascii="Times New Roman" w:hAnsi="Times New Roman" w:eastAsia="宋体" w:cs="Times New Roman"/>
          <w:sz w:val="24"/>
          <w:szCs w:val="24"/>
          <w:lang w:val="en-US" w:eastAsia="zh-CN"/>
        </w:rPr>
        <w:t>严格符合标准的温度传感器，并且支持动态模式的多点校准。</w:t>
      </w:r>
      <w:bookmarkEnd w:id="27"/>
      <w:bookmarkEnd w:id="28"/>
    </w:p>
    <w:p>
      <w:pPr>
        <w:pStyle w:val="9"/>
        <w:keepNext w:val="0"/>
        <w:keepLines w:val="0"/>
        <w:pageBreakBefore w:val="0"/>
        <w:widowControl w:val="0"/>
        <w:numPr>
          <w:ilvl w:val="0"/>
          <w:numId w:val="9"/>
        </w:numPr>
        <w:tabs>
          <w:tab w:val="left" w:pos="420"/>
          <w:tab w:val="clear" w:pos="312"/>
        </w:tabs>
        <w:kinsoku/>
        <w:wordWrap/>
        <w:overflowPunct/>
        <w:topLinePunct w:val="0"/>
        <w:autoSpaceDE/>
        <w:autoSpaceDN/>
        <w:bidi w:val="0"/>
        <w:adjustRightInd w:val="0"/>
        <w:snapToGrid w:val="0"/>
        <w:spacing w:line="360" w:lineRule="auto"/>
        <w:ind w:left="-10" w:leftChars="-5" w:firstLine="11" w:firstLineChars="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▲多功能闪点传感器采用无线方式连接。</w:t>
      </w:r>
    </w:p>
    <w:p>
      <w:pPr>
        <w:pStyle w:val="9"/>
        <w:keepNext w:val="0"/>
        <w:keepLines w:val="0"/>
        <w:pageBreakBefore w:val="0"/>
        <w:widowControl w:val="0"/>
        <w:numPr>
          <w:ilvl w:val="0"/>
          <w:numId w:val="9"/>
        </w:numPr>
        <w:tabs>
          <w:tab w:val="left" w:pos="420"/>
          <w:tab w:val="clear" w:pos="312"/>
        </w:tabs>
        <w:kinsoku/>
        <w:wordWrap/>
        <w:overflowPunct/>
        <w:topLinePunct w:val="0"/>
        <w:autoSpaceDE/>
        <w:autoSpaceDN/>
        <w:bidi w:val="0"/>
        <w:adjustRightInd w:val="0"/>
        <w:snapToGrid w:val="0"/>
        <w:spacing w:line="360" w:lineRule="auto"/>
        <w:ind w:left="-10" w:leftChars="-5" w:firstLine="11" w:firstLineChars="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内置大气压自动校准功能。</w:t>
      </w:r>
    </w:p>
    <w:p>
      <w:pPr>
        <w:pStyle w:val="9"/>
        <w:keepNext w:val="0"/>
        <w:keepLines w:val="0"/>
        <w:pageBreakBefore w:val="0"/>
        <w:widowControl w:val="0"/>
        <w:numPr>
          <w:ilvl w:val="0"/>
          <w:numId w:val="9"/>
        </w:numPr>
        <w:tabs>
          <w:tab w:val="left" w:pos="420"/>
          <w:tab w:val="clear" w:pos="312"/>
        </w:tabs>
        <w:kinsoku/>
        <w:wordWrap/>
        <w:overflowPunct/>
        <w:topLinePunct w:val="0"/>
        <w:autoSpaceDE/>
        <w:autoSpaceDN/>
        <w:bidi w:val="0"/>
        <w:adjustRightInd w:val="0"/>
        <w:snapToGrid w:val="0"/>
        <w:spacing w:line="360" w:lineRule="auto"/>
        <w:ind w:left="-10" w:leftChars="-5" w:firstLine="11" w:firstLineChars="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未知样品闪点快速搜索。</w:t>
      </w:r>
    </w:p>
    <w:p>
      <w:pPr>
        <w:pStyle w:val="9"/>
        <w:keepNext w:val="0"/>
        <w:keepLines w:val="0"/>
        <w:pageBreakBefore w:val="0"/>
        <w:widowControl w:val="0"/>
        <w:numPr>
          <w:ilvl w:val="0"/>
          <w:numId w:val="9"/>
        </w:numPr>
        <w:tabs>
          <w:tab w:val="left" w:pos="420"/>
          <w:tab w:val="clear" w:pos="312"/>
        </w:tabs>
        <w:kinsoku/>
        <w:wordWrap/>
        <w:overflowPunct/>
        <w:topLinePunct w:val="0"/>
        <w:autoSpaceDE/>
        <w:autoSpaceDN/>
        <w:bidi w:val="0"/>
        <w:adjustRightInd w:val="0"/>
        <w:snapToGrid w:val="0"/>
        <w:spacing w:line="360" w:lineRule="auto"/>
        <w:ind w:left="-10" w:leftChars="-5" w:firstLine="11" w:firstLineChars="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控温方式：帕尔贴。</w:t>
      </w:r>
    </w:p>
    <w:p>
      <w:pPr>
        <w:pStyle w:val="9"/>
        <w:keepNext w:val="0"/>
        <w:keepLines w:val="0"/>
        <w:pageBreakBefore w:val="0"/>
        <w:widowControl w:val="0"/>
        <w:numPr>
          <w:ilvl w:val="0"/>
          <w:numId w:val="9"/>
        </w:numPr>
        <w:tabs>
          <w:tab w:val="left" w:pos="420"/>
          <w:tab w:val="clear" w:pos="312"/>
        </w:tabs>
        <w:kinsoku/>
        <w:wordWrap/>
        <w:overflowPunct/>
        <w:topLinePunct w:val="0"/>
        <w:autoSpaceDE/>
        <w:autoSpaceDN/>
        <w:bidi w:val="0"/>
        <w:adjustRightInd w:val="0"/>
        <w:snapToGrid w:val="0"/>
        <w:spacing w:line="360" w:lineRule="auto"/>
        <w:ind w:left="-10" w:leftChars="-5" w:firstLine="11" w:firstLineChars="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▲配备全金属的多功能闪点传感器。</w:t>
      </w:r>
    </w:p>
    <w:p>
      <w:pPr>
        <w:pStyle w:val="9"/>
        <w:keepNext w:val="0"/>
        <w:keepLines w:val="0"/>
        <w:pageBreakBefore w:val="0"/>
        <w:widowControl w:val="0"/>
        <w:numPr>
          <w:ilvl w:val="0"/>
          <w:numId w:val="9"/>
        </w:numPr>
        <w:tabs>
          <w:tab w:val="left" w:pos="420"/>
          <w:tab w:val="clear" w:pos="312"/>
        </w:tabs>
        <w:kinsoku/>
        <w:wordWrap/>
        <w:overflowPunct/>
        <w:topLinePunct w:val="0"/>
        <w:autoSpaceDE/>
        <w:autoSpaceDN/>
        <w:bidi w:val="0"/>
        <w:adjustRightInd w:val="0"/>
        <w:snapToGrid w:val="0"/>
        <w:spacing w:line="360" w:lineRule="auto"/>
        <w:ind w:left="-10" w:leftChars="-5" w:firstLine="11" w:firstLineChars="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▲配备两种点火方式，气点火和电点火。</w:t>
      </w:r>
    </w:p>
    <w:p>
      <w:pPr>
        <w:pStyle w:val="9"/>
        <w:keepNext w:val="0"/>
        <w:keepLines w:val="0"/>
        <w:pageBreakBefore w:val="0"/>
        <w:widowControl w:val="0"/>
        <w:numPr>
          <w:ilvl w:val="0"/>
          <w:numId w:val="9"/>
        </w:numPr>
        <w:tabs>
          <w:tab w:val="left" w:pos="420"/>
          <w:tab w:val="clear" w:pos="312"/>
        </w:tabs>
        <w:kinsoku/>
        <w:wordWrap/>
        <w:overflowPunct/>
        <w:topLinePunct w:val="0"/>
        <w:autoSpaceDE/>
        <w:autoSpaceDN/>
        <w:bidi w:val="0"/>
        <w:adjustRightInd w:val="0"/>
        <w:snapToGrid w:val="0"/>
        <w:spacing w:line="360" w:lineRule="auto"/>
        <w:ind w:left="-10" w:leftChars="-5" w:firstLine="11" w:firstLineChars="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自动电点火头电流和电压检测。</w:t>
      </w:r>
    </w:p>
    <w:p>
      <w:pPr>
        <w:pStyle w:val="9"/>
        <w:keepNext w:val="0"/>
        <w:keepLines w:val="0"/>
        <w:pageBreakBefore w:val="0"/>
        <w:widowControl w:val="0"/>
        <w:numPr>
          <w:ilvl w:val="0"/>
          <w:numId w:val="9"/>
        </w:numPr>
        <w:tabs>
          <w:tab w:val="left" w:pos="420"/>
          <w:tab w:val="clear" w:pos="312"/>
        </w:tabs>
        <w:kinsoku/>
        <w:wordWrap/>
        <w:overflowPunct/>
        <w:topLinePunct w:val="0"/>
        <w:autoSpaceDE/>
        <w:autoSpaceDN/>
        <w:bidi w:val="0"/>
        <w:adjustRightInd w:val="0"/>
        <w:snapToGrid w:val="0"/>
        <w:spacing w:line="360" w:lineRule="auto"/>
        <w:ind w:left="-10" w:leftChars="-5" w:firstLine="11" w:firstLineChars="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自带闪火/非闪火检测程序方法</w:t>
      </w:r>
    </w:p>
    <w:p>
      <w:pPr>
        <w:pStyle w:val="9"/>
        <w:keepNext w:val="0"/>
        <w:keepLines w:val="0"/>
        <w:pageBreakBefore w:val="0"/>
        <w:widowControl w:val="0"/>
        <w:numPr>
          <w:ilvl w:val="0"/>
          <w:numId w:val="9"/>
        </w:numPr>
        <w:tabs>
          <w:tab w:val="left" w:pos="420"/>
          <w:tab w:val="clear" w:pos="312"/>
        </w:tabs>
        <w:kinsoku/>
        <w:wordWrap/>
        <w:overflowPunct/>
        <w:topLinePunct w:val="0"/>
        <w:autoSpaceDE/>
        <w:autoSpaceDN/>
        <w:bidi w:val="0"/>
        <w:adjustRightInd w:val="0"/>
        <w:snapToGrid w:val="0"/>
        <w:spacing w:line="360" w:lineRule="auto"/>
        <w:ind w:left="-10" w:leftChars="-5" w:firstLine="11" w:firstLineChars="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支持自定义方法程序。</w:t>
      </w:r>
    </w:p>
    <w:p>
      <w:pPr>
        <w:pStyle w:val="9"/>
        <w:keepNext w:val="0"/>
        <w:keepLines w:val="0"/>
        <w:pageBreakBefore w:val="0"/>
        <w:widowControl w:val="0"/>
        <w:numPr>
          <w:ilvl w:val="0"/>
          <w:numId w:val="9"/>
        </w:numPr>
        <w:tabs>
          <w:tab w:val="left" w:pos="420"/>
          <w:tab w:val="clear" w:pos="312"/>
        </w:tabs>
        <w:kinsoku/>
        <w:wordWrap/>
        <w:overflowPunct/>
        <w:topLinePunct w:val="0"/>
        <w:autoSpaceDE/>
        <w:autoSpaceDN/>
        <w:bidi w:val="0"/>
        <w:adjustRightInd w:val="0"/>
        <w:snapToGrid w:val="0"/>
        <w:spacing w:line="360" w:lineRule="auto"/>
        <w:ind w:left="-10" w:leftChars="-5" w:firstLine="11" w:firstLineChars="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支持快速加热模式。</w:t>
      </w:r>
    </w:p>
    <w:p>
      <w:pPr>
        <w:pStyle w:val="9"/>
        <w:keepNext w:val="0"/>
        <w:keepLines w:val="0"/>
        <w:pageBreakBefore w:val="0"/>
        <w:widowControl w:val="0"/>
        <w:numPr>
          <w:ilvl w:val="0"/>
          <w:numId w:val="9"/>
        </w:numPr>
        <w:tabs>
          <w:tab w:val="left" w:pos="420"/>
          <w:tab w:val="clear" w:pos="312"/>
        </w:tabs>
        <w:kinsoku/>
        <w:wordWrap/>
        <w:overflowPunct/>
        <w:topLinePunct w:val="0"/>
        <w:autoSpaceDE/>
        <w:autoSpaceDN/>
        <w:bidi w:val="0"/>
        <w:adjustRightInd w:val="0"/>
        <w:snapToGrid w:val="0"/>
        <w:spacing w:line="360" w:lineRule="auto"/>
        <w:ind w:left="-10" w:leftChars="-5" w:firstLine="11" w:firstLineChars="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可外接打印机和电脑，实现数据的自动输出。</w:t>
      </w:r>
    </w:p>
    <w:bookmarkEnd w:id="25"/>
    <w:bookmarkEnd w:id="26"/>
    <w:p>
      <w:pPr>
        <w:spacing w:line="360" w:lineRule="auto"/>
        <w:rPr>
          <w:b/>
          <w:bCs/>
          <w:sz w:val="24"/>
          <w:szCs w:val="24"/>
        </w:rPr>
      </w:pPr>
      <w:r>
        <w:rPr>
          <w:b/>
          <w:bCs/>
          <w:sz w:val="24"/>
          <w:szCs w:val="24"/>
        </w:rPr>
        <w:t>附件</w:t>
      </w:r>
      <w:r>
        <w:rPr>
          <w:rFonts w:hint="eastAsia"/>
          <w:b/>
          <w:bCs/>
          <w:sz w:val="24"/>
          <w:szCs w:val="24"/>
        </w:rPr>
        <w:t>3</w:t>
      </w:r>
      <w:r>
        <w:rPr>
          <w:b/>
          <w:bCs/>
          <w:sz w:val="24"/>
          <w:szCs w:val="24"/>
        </w:rPr>
        <w:t>：　</w:t>
      </w:r>
    </w:p>
    <w:p>
      <w:pPr>
        <w:spacing w:line="360" w:lineRule="auto"/>
        <w:jc w:val="center"/>
        <w:rPr>
          <w:rFonts w:eastAsia="方正小标宋简体"/>
          <w:b/>
          <w:color w:val="000000"/>
          <w:sz w:val="44"/>
          <w:szCs w:val="44"/>
        </w:rPr>
      </w:pPr>
      <w:r>
        <w:rPr>
          <w:rFonts w:eastAsia="方正小标宋简体"/>
          <w:b/>
          <w:color w:val="000000"/>
          <w:sz w:val="44"/>
          <w:szCs w:val="44"/>
        </w:rPr>
        <w:t>阳光合作协议</w:t>
      </w:r>
    </w:p>
    <w:p>
      <w:pPr>
        <w:spacing w:line="360" w:lineRule="auto"/>
        <w:rPr>
          <w:b/>
          <w:color w:val="000000"/>
          <w:sz w:val="28"/>
          <w:szCs w:val="28"/>
        </w:rPr>
      </w:pPr>
    </w:p>
    <w:p>
      <w:pPr>
        <w:spacing w:before="159" w:beforeLines="50" w:after="159" w:afterLines="50" w:line="360" w:lineRule="auto"/>
        <w:ind w:firstLine="480" w:firstLineChars="200"/>
        <w:contextualSpacing/>
        <w:rPr>
          <w:color w:val="000000"/>
          <w:sz w:val="24"/>
          <w:szCs w:val="24"/>
        </w:rPr>
      </w:pPr>
      <w:r>
        <w:rPr>
          <w:color w:val="000000"/>
          <w:sz w:val="24"/>
          <w:szCs w:val="24"/>
        </w:rPr>
        <w:t>甲方（采购方全称）： 东莞市新东欣环保投资有限公司</w:t>
      </w:r>
    </w:p>
    <w:p>
      <w:pPr>
        <w:spacing w:before="159" w:beforeLines="50" w:after="159" w:afterLines="50" w:line="360" w:lineRule="auto"/>
        <w:ind w:firstLine="480" w:firstLineChars="200"/>
        <w:contextualSpacing/>
        <w:rPr>
          <w:color w:val="000000"/>
          <w:sz w:val="24"/>
          <w:szCs w:val="24"/>
        </w:rPr>
      </w:pPr>
      <w:r>
        <w:rPr>
          <w:color w:val="000000"/>
          <w:sz w:val="24"/>
          <w:szCs w:val="24"/>
        </w:rPr>
        <w:t xml:space="preserve">乙方（供应方全称）：            </w:t>
      </w:r>
    </w:p>
    <w:p>
      <w:pPr>
        <w:spacing w:line="360" w:lineRule="auto"/>
        <w:jc w:val="left"/>
      </w:pPr>
      <w:r>
        <w:rPr>
          <w:rFonts w:hint="eastAsia"/>
        </w:rPr>
        <w:t xml:space="preserve"> </w:t>
      </w:r>
      <w:r>
        <w:t xml:space="preserve">   甲乙双方于202</w:t>
      </w:r>
      <w:r>
        <w:rPr>
          <w:rFonts w:hint="eastAsia"/>
        </w:rPr>
        <w:t>1</w:t>
      </w:r>
      <w:r>
        <w:t>年  月  日签署了</w:t>
      </w:r>
      <w:r>
        <w:rPr>
          <w:rFonts w:hint="eastAsia"/>
          <w:szCs w:val="21"/>
        </w:rPr>
        <w:t>东莞市海心沙资源综合利用中心绿色工业服务项目检测中心阿贝尔闪点仪（ABA4）供货及安装</w:t>
      </w:r>
      <w:r>
        <w:t>合同（以下简称原合同），为加强双方阳光合作，保证职员职业安全，甲乙双方经协商签定本协议并作为双方共同遵守的阳光合作行为准则。</w:t>
      </w:r>
    </w:p>
    <w:p>
      <w:pPr>
        <w:widowControl/>
        <w:numPr>
          <w:ilvl w:val="0"/>
          <w:numId w:val="10"/>
        </w:numPr>
        <w:spacing w:before="159" w:beforeLines="50" w:after="159" w:afterLines="50" w:line="360" w:lineRule="auto"/>
        <w:contextualSpacing/>
        <w:rPr>
          <w:b/>
        </w:rPr>
      </w:pPr>
      <w:r>
        <w:rPr>
          <w:b/>
        </w:rPr>
        <w:t>甲方责任</w:t>
      </w:r>
    </w:p>
    <w:p>
      <w:pPr>
        <w:spacing w:before="159" w:beforeLines="50" w:after="159" w:afterLines="50" w:line="360" w:lineRule="auto"/>
        <w:ind w:left="105" w:leftChars="50" w:firstLine="420" w:firstLineChars="200"/>
        <w:contextualSpacing/>
      </w:pPr>
      <w:r>
        <w:t>1.甲方有责任向乙方介绍本单位有关采购管理通用原则和本协议的规定。</w:t>
      </w:r>
    </w:p>
    <w:p>
      <w:pPr>
        <w:spacing w:before="159" w:beforeLines="50" w:after="159" w:afterLines="50" w:line="360" w:lineRule="auto"/>
        <w:ind w:left="105" w:leftChars="50" w:firstLine="420" w:firstLineChars="200"/>
        <w:contextualSpacing/>
      </w:pPr>
      <w:r>
        <w:t>2.甲方有责任对本单位相关人员进行阳光合作教育。</w:t>
      </w:r>
    </w:p>
    <w:p>
      <w:pPr>
        <w:spacing w:before="159" w:beforeLines="50" w:after="159" w:afterLines="50" w:line="360" w:lineRule="auto"/>
        <w:ind w:left="105" w:leftChars="50" w:firstLine="420" w:firstLineChars="200"/>
        <w:contextualSpacing/>
      </w:pPr>
      <w:r>
        <w:t xml:space="preserve">3.甲方人员应严格遵守本单位有关阳光合作管理的规定，不得接受乙方任何形式的回扣、实物、现金、有价证券、礼券等有价物品，不得参加乙方提供的旅游或其他可能影响职务行为公正履行的活动。 </w:t>
      </w:r>
    </w:p>
    <w:p>
      <w:pPr>
        <w:spacing w:before="159" w:beforeLines="50" w:after="159" w:afterLines="50" w:line="360" w:lineRule="auto"/>
        <w:ind w:left="105" w:leftChars="50" w:firstLine="420" w:firstLineChars="200"/>
        <w:contextualSpacing/>
      </w:pPr>
      <w:r>
        <w:t>4.甲方人员如违反阳光合作管理制度及本协议规定，甲方视情节轻重、影响大小给予行政及经济处罚。</w:t>
      </w:r>
    </w:p>
    <w:p>
      <w:pPr>
        <w:spacing w:before="159" w:beforeLines="50" w:after="159" w:afterLines="50" w:line="360" w:lineRule="auto"/>
        <w:ind w:left="105" w:leftChars="50" w:firstLine="420" w:firstLineChars="200"/>
        <w:contextualSpacing/>
      </w:pPr>
      <w:r>
        <w:t>5．对于乙方举报甲方人员违反阳光合作规定的情况，甲方应及时进行调查，根据调查情况进行处理，并将调查结果向乙方反馈。</w:t>
      </w:r>
    </w:p>
    <w:p>
      <w:pPr>
        <w:spacing w:before="159" w:beforeLines="50" w:after="159" w:afterLines="50" w:line="360" w:lineRule="auto"/>
        <w:ind w:left="105" w:leftChars="50" w:firstLine="420" w:firstLineChars="200"/>
        <w:contextualSpacing/>
      </w:pPr>
      <w:r>
        <w:t>6.接受举报的一方应为举报方保密，不得对举报方进行报复，对举报属实和严格遵守《阳光合作协议》的合作方，在同等条件下给予后续合作的优先权。</w:t>
      </w:r>
    </w:p>
    <w:p>
      <w:pPr>
        <w:widowControl/>
        <w:numPr>
          <w:ilvl w:val="0"/>
          <w:numId w:val="10"/>
        </w:numPr>
        <w:spacing w:before="159" w:beforeLines="50" w:after="159" w:afterLines="50" w:line="360" w:lineRule="auto"/>
        <w:contextualSpacing/>
        <w:rPr>
          <w:b/>
        </w:rPr>
      </w:pPr>
      <w:r>
        <w:rPr>
          <w:b/>
        </w:rPr>
        <w:t>乙方责任</w:t>
      </w:r>
    </w:p>
    <w:p>
      <w:pPr>
        <w:spacing w:before="159" w:beforeLines="50" w:after="159" w:afterLines="50" w:line="360" w:lineRule="auto"/>
        <w:ind w:left="105" w:leftChars="50" w:firstLine="420" w:firstLineChars="200"/>
        <w:contextualSpacing/>
      </w:pPr>
      <w:r>
        <w:t>1.乙方应保证乙方人员了解甲方有关采购管理通用原则和及本协议的规定，并遵照执行。</w:t>
      </w:r>
    </w:p>
    <w:p>
      <w:pPr>
        <w:spacing w:before="159" w:beforeLines="50" w:after="159" w:afterLines="50" w:line="360" w:lineRule="auto"/>
        <w:ind w:left="105" w:leftChars="50" w:firstLine="420" w:firstLineChars="200"/>
        <w:contextualSpacing/>
      </w:pPr>
      <w:r>
        <w:t>2.乙方不得以任何形式给予甲方人员回扣、赠送实物、现金、有价证券、礼券等有价物品或提供旅游等其他可能影响职务行为公正履行的活动（以下统称“财物”）。</w:t>
      </w:r>
    </w:p>
    <w:p>
      <w:pPr>
        <w:spacing w:before="159" w:beforeLines="50" w:after="159" w:afterLines="50" w:line="360" w:lineRule="auto"/>
        <w:ind w:left="105" w:leftChars="50" w:firstLine="420" w:firstLineChars="200"/>
        <w:contextualSpacing/>
      </w:pPr>
      <w:r>
        <w:t>3.乙方有责任接受甲方对乙方在合作期间阳光合作管理执行情况的监督，并对甲方相关调查工作主动配合。</w:t>
      </w:r>
    </w:p>
    <w:p>
      <w:pPr>
        <w:spacing w:before="159" w:beforeLines="50" w:after="159" w:afterLines="50" w:line="360" w:lineRule="auto"/>
        <w:ind w:left="105" w:leftChars="50" w:firstLine="420" w:firstLineChars="200"/>
        <w:contextualSpacing/>
      </w:pPr>
      <w:r>
        <w:t>4.乙方有义务就甲方人员任何形式的索取或收受财物行为及时向甲方（直接联系人为东莞实业投资控股集团有限公司监察审计室）举报。如乙方或其人员向甲方人员给予财物，或甲方人员向乙方索取财物，乙方满足其要求并且未向甲方举报的，一经查实（包括但不限于被甲方核实属实，或者被司法机关或第三方核实属实的），甲方将在内部通报；乙方除应向甲方赔偿由此给甲方造成的损失外，乙方还应向甲方支付相当于原合同总价的10%的违约金，并对乙方知情不报人员进行相应处罚；连续出现2次及以上类似情况或者如因乙方在合作期间贿赂甲方人员，被司法机关立案查处核实属实的，甲方有权解除原合同，如甲方解除原合同的，则乙方应退还甲方所支付的所有款项并按原合同与本合同约定承担违约责任，且五年之内不得作为东实集团（东莞实业投资控股集团有限公司及下属子公司）合格供应商。</w:t>
      </w:r>
    </w:p>
    <w:p>
      <w:pPr>
        <w:spacing w:before="159" w:beforeLines="50" w:after="159" w:afterLines="50" w:line="360" w:lineRule="auto"/>
        <w:ind w:left="105" w:leftChars="50" w:firstLine="420" w:firstLineChars="200"/>
        <w:contextualSpacing/>
      </w:pPr>
      <w:r>
        <w:t xml:space="preserve">5．甲方接受乙方实名或匿名举报，保证为举报者的信息保密，常设举报部门及电话： </w:t>
      </w:r>
    </w:p>
    <w:p>
      <w:pPr>
        <w:spacing w:before="159" w:beforeLines="50" w:after="159" w:afterLines="50" w:line="360" w:lineRule="auto"/>
        <w:ind w:left="105" w:leftChars="50" w:firstLine="420" w:firstLineChars="200"/>
        <w:contextualSpacing/>
      </w:pPr>
      <w:r>
        <w:t>举报受理部门：东莞实业投资控股集团有限公司监察审计室</w:t>
      </w:r>
    </w:p>
    <w:p>
      <w:pPr>
        <w:spacing w:before="159" w:beforeLines="50" w:after="159" w:afterLines="50" w:line="360" w:lineRule="auto"/>
        <w:ind w:left="105" w:leftChars="50" w:firstLine="420" w:firstLineChars="200"/>
        <w:contextualSpacing/>
      </w:pPr>
      <w:r>
        <w:t>东实集团举报邮箱：dgsyjjjc@163.com</w:t>
      </w:r>
    </w:p>
    <w:p>
      <w:pPr>
        <w:spacing w:before="159" w:beforeLines="50" w:after="159" w:afterLines="50" w:line="360" w:lineRule="auto"/>
        <w:ind w:left="105" w:leftChars="50" w:firstLine="420" w:firstLineChars="200"/>
        <w:contextualSpacing/>
      </w:pPr>
      <w:r>
        <w:t>东实集团举报电话：0769-28822331（周一至周五9:00-12:00和14:00-18:00）</w:t>
      </w:r>
    </w:p>
    <w:p>
      <w:pPr>
        <w:spacing w:before="159" w:beforeLines="50" w:after="159" w:afterLines="50" w:line="360" w:lineRule="auto"/>
        <w:ind w:left="105" w:leftChars="50" w:firstLine="420" w:firstLineChars="200"/>
        <w:contextualSpacing/>
      </w:pPr>
      <w:r>
        <w:t>邮寄地址：东莞市东城区八一路1号机关二号大院9号楼321室，东莞实业投资控股集团有限公司监察审计室收，邮编523000。</w:t>
      </w:r>
    </w:p>
    <w:p>
      <w:pPr>
        <w:widowControl/>
        <w:numPr>
          <w:ilvl w:val="0"/>
          <w:numId w:val="10"/>
        </w:numPr>
        <w:spacing w:before="159" w:beforeLines="50" w:after="159" w:afterLines="50" w:line="360" w:lineRule="auto"/>
        <w:contextualSpacing/>
        <w:rPr>
          <w:b/>
        </w:rPr>
      </w:pPr>
      <w:r>
        <w:rPr>
          <w:b/>
        </w:rPr>
        <w:t>其他</w:t>
      </w:r>
    </w:p>
    <w:p>
      <w:pPr>
        <w:spacing w:before="159" w:beforeLines="50" w:after="159" w:afterLines="50" w:line="360" w:lineRule="auto"/>
        <w:ind w:left="105" w:leftChars="50" w:firstLine="420" w:firstLineChars="200"/>
        <w:contextualSpacing/>
      </w:pPr>
      <w:r>
        <w:t>1.本协议是原合同的补充协议，与原合同有同等法律效力。</w:t>
      </w:r>
    </w:p>
    <w:p>
      <w:pPr>
        <w:spacing w:before="159" w:beforeLines="50" w:after="159" w:afterLines="50" w:line="360" w:lineRule="auto"/>
        <w:ind w:left="105" w:leftChars="50" w:firstLine="420" w:firstLineChars="200"/>
        <w:contextualSpacing/>
      </w:pPr>
      <w:r>
        <w:t>2.本协议一式陆份，甲方肆份，乙方贰份, 具有同等法律效力。</w:t>
      </w:r>
    </w:p>
    <w:p>
      <w:pPr>
        <w:spacing w:before="159" w:beforeLines="50" w:after="159" w:afterLines="50" w:line="360" w:lineRule="auto"/>
        <w:ind w:left="105" w:leftChars="50" w:firstLine="420" w:firstLineChars="200"/>
        <w:contextualSpacing/>
      </w:pPr>
      <w:r>
        <w:t>3.本协议经双方签署后生效。</w:t>
      </w:r>
    </w:p>
    <w:p>
      <w:pPr>
        <w:spacing w:before="159" w:beforeLines="50" w:after="159" w:afterLines="50" w:line="360" w:lineRule="auto"/>
        <w:ind w:right="26"/>
        <w:contextualSpacing/>
        <w:rPr>
          <w:color w:val="000000"/>
        </w:rPr>
      </w:pPr>
    </w:p>
    <w:p>
      <w:pPr>
        <w:spacing w:before="159" w:beforeLines="50" w:after="159" w:afterLines="50" w:line="360" w:lineRule="auto"/>
        <w:ind w:right="26" w:firstLine="315" w:firstLineChars="150"/>
        <w:contextualSpacing/>
        <w:rPr>
          <w:color w:val="000000"/>
        </w:rPr>
      </w:pPr>
      <w:r>
        <w:rPr>
          <w:color w:val="000000"/>
        </w:rPr>
        <w:t>甲方（盖章）：</w:t>
      </w:r>
      <w:r>
        <w:rPr>
          <w:color w:val="000000"/>
        </w:rPr>
        <w:tab/>
      </w:r>
      <w:r>
        <w:rPr>
          <w:color w:val="000000"/>
        </w:rPr>
        <w:tab/>
      </w:r>
      <w:r>
        <w:rPr>
          <w:color w:val="000000"/>
        </w:rPr>
        <w:tab/>
      </w:r>
      <w:r>
        <w:rPr>
          <w:color w:val="000000"/>
        </w:rPr>
        <w:tab/>
      </w:r>
      <w:r>
        <w:rPr>
          <w:color w:val="000000"/>
        </w:rPr>
        <w:tab/>
      </w:r>
      <w:r>
        <w:rPr>
          <w:color w:val="000000"/>
        </w:rPr>
        <w:t xml:space="preserve">     乙方（盖章）：</w:t>
      </w:r>
    </w:p>
    <w:p>
      <w:pPr>
        <w:spacing w:before="159" w:beforeLines="50" w:after="159" w:afterLines="50" w:line="360" w:lineRule="auto"/>
        <w:ind w:right="26" w:firstLine="840" w:firstLineChars="400"/>
        <w:contextualSpacing/>
        <w:rPr>
          <w:color w:val="000000"/>
        </w:rPr>
      </w:pPr>
    </w:p>
    <w:p>
      <w:pPr>
        <w:spacing w:before="159" w:beforeLines="50" w:after="159" w:afterLines="50" w:line="360" w:lineRule="auto"/>
        <w:ind w:right="26" w:firstLine="315" w:firstLineChars="150"/>
        <w:contextualSpacing/>
        <w:rPr>
          <w:color w:val="000000"/>
        </w:rPr>
      </w:pPr>
      <w:r>
        <w:rPr>
          <w:color w:val="000000"/>
        </w:rPr>
        <w:t>法定代表人（授权代表）：</w:t>
      </w:r>
      <w:r>
        <w:rPr>
          <w:color w:val="000000"/>
        </w:rPr>
        <w:tab/>
      </w:r>
      <w:r>
        <w:rPr>
          <w:color w:val="000000"/>
        </w:rPr>
        <w:tab/>
      </w:r>
      <w:r>
        <w:rPr>
          <w:color w:val="000000"/>
        </w:rPr>
        <w:tab/>
      </w:r>
      <w:r>
        <w:rPr>
          <w:color w:val="000000"/>
        </w:rPr>
        <w:tab/>
      </w:r>
      <w:r>
        <w:rPr>
          <w:color w:val="000000"/>
        </w:rPr>
        <w:t xml:space="preserve"> 法定代表人（授权代表）：</w:t>
      </w:r>
    </w:p>
    <w:p>
      <w:pPr>
        <w:spacing w:before="159" w:beforeLines="50" w:after="159" w:afterLines="50" w:line="360" w:lineRule="auto"/>
        <w:ind w:right="26" w:firstLine="840" w:firstLineChars="400"/>
        <w:contextualSpacing/>
        <w:rPr>
          <w:color w:val="000000"/>
        </w:rPr>
      </w:pPr>
    </w:p>
    <w:p>
      <w:pPr>
        <w:spacing w:before="159" w:beforeLines="50" w:after="159" w:afterLines="50" w:line="360" w:lineRule="auto"/>
        <w:ind w:right="26" w:firstLine="315" w:firstLineChars="150"/>
        <w:contextualSpacing/>
        <w:rPr>
          <w:color w:val="000000"/>
        </w:rPr>
      </w:pPr>
      <w:r>
        <w:rPr>
          <w:color w:val="000000"/>
        </w:rPr>
        <w:t>签约日期：202</w:t>
      </w:r>
      <w:r>
        <w:rPr>
          <w:rFonts w:hint="eastAsia"/>
          <w:color w:val="000000"/>
        </w:rPr>
        <w:t>1</w:t>
      </w:r>
      <w:r>
        <w:rPr>
          <w:color w:val="000000"/>
        </w:rPr>
        <w:t>年  月  日</w:t>
      </w:r>
      <w:r>
        <w:rPr>
          <w:color w:val="000000"/>
        </w:rPr>
        <w:tab/>
      </w:r>
      <w:r>
        <w:rPr>
          <w:color w:val="000000"/>
        </w:rPr>
        <w:t xml:space="preserve">             签约日期：202</w:t>
      </w:r>
      <w:r>
        <w:rPr>
          <w:rFonts w:hint="eastAsia"/>
          <w:color w:val="000000"/>
        </w:rPr>
        <w:t>1</w:t>
      </w:r>
      <w:r>
        <w:rPr>
          <w:color w:val="000000"/>
        </w:rPr>
        <w:t>年  月  日</w:t>
      </w:r>
    </w:p>
    <w:p>
      <w:pPr>
        <w:spacing w:line="360" w:lineRule="auto"/>
        <w:rPr>
          <w:color w:val="000000"/>
        </w:rPr>
      </w:pPr>
    </w:p>
    <w:p>
      <w:pPr>
        <w:spacing w:line="360" w:lineRule="auto"/>
        <w:rPr>
          <w:color w:val="000000"/>
        </w:rPr>
      </w:pPr>
    </w:p>
    <w:bookmarkEnd w:id="2"/>
    <w:p>
      <w:pPr>
        <w:rPr>
          <w:rFonts w:ascii="宋体" w:hAnsi="宋体"/>
          <w:sz w:val="24"/>
          <w:szCs w:val="24"/>
        </w:rPr>
      </w:pPr>
      <w:bookmarkStart w:id="29" w:name="现场签证通知单"/>
      <w:bookmarkEnd w:id="29"/>
      <w:bookmarkStart w:id="30" w:name="设计变更通知单"/>
      <w:bookmarkEnd w:id="30"/>
      <w:bookmarkStart w:id="31" w:name="hs_code"/>
      <w:bookmarkEnd w:id="31"/>
      <w:bookmarkStart w:id="32" w:name="hs_Tprice"/>
      <w:bookmarkEnd w:id="32"/>
      <w:bookmarkStart w:id="33" w:name="hs_yhname"/>
      <w:bookmarkEnd w:id="33"/>
    </w:p>
    <w:sectPr>
      <w:headerReference r:id="rId4" w:type="default"/>
      <w:footerReference r:id="rId5" w:type="default"/>
      <w:footerReference r:id="rId6" w:type="even"/>
      <w:pgSz w:w="11906" w:h="16838"/>
      <w:pgMar w:top="1440" w:right="1803" w:bottom="1440" w:left="1803"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Noto Sans Mono CJK JP Regular">
    <w:altName w:val="Arial"/>
    <w:panose1 w:val="00000000000000000000"/>
    <w:charset w:val="00"/>
    <w:family w:val="swiss"/>
    <w:pitch w:val="default"/>
    <w:sig w:usb0="00000000" w:usb1="00000000" w:usb2="00000000" w:usb3="00000000" w:csb0="00000000" w:csb1="00000000"/>
  </w:font>
  <w:font w:name="方正仿宋简体">
    <w:altName w:val="微软雅黑"/>
    <w:panose1 w:val="00000000000000000000"/>
    <w:charset w:val="86"/>
    <w:family w:val="auto"/>
    <w:pitch w:val="default"/>
    <w:sig w:usb0="00000000" w:usb1="00000000" w:usb2="00000010" w:usb3="00000000" w:csb0="00040000" w:csb1="00000000"/>
  </w:font>
  <w:font w:name="创艺简仿宋">
    <w:altName w:val="黑体"/>
    <w:panose1 w:val="00000000000000000000"/>
    <w:charset w:val="86"/>
    <w:family w:val="auto"/>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方正小标宋简体">
    <w:altName w:val="Arial Unicode MS"/>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framePr w:wrap="around" w:vAnchor="text" w:hAnchor="margin" w:xAlign="center" w:y="1"/>
      <w:rPr>
        <w:rStyle w:val="21"/>
      </w:rPr>
    </w:pPr>
    <w:r>
      <w:fldChar w:fldCharType="begin"/>
    </w:r>
    <w:r>
      <w:rPr>
        <w:rStyle w:val="21"/>
      </w:rPr>
      <w:instrText xml:space="preserve">PAGE  </w:instrText>
    </w:r>
    <w:r>
      <w:fldChar w:fldCharType="end"/>
    </w:r>
  </w:p>
  <w:p>
    <w:pPr>
      <w:pStyle w:val="11"/>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F06CF96"/>
    <w:multiLevelType w:val="singleLevel"/>
    <w:tmpl w:val="8F06CF96"/>
    <w:lvl w:ilvl="0" w:tentative="0">
      <w:start w:val="1"/>
      <w:numFmt w:val="decimal"/>
      <w:lvlText w:val="%1)"/>
      <w:lvlJc w:val="left"/>
      <w:pPr>
        <w:ind w:left="425" w:hanging="425"/>
      </w:pPr>
      <w:rPr>
        <w:rFonts w:hint="default"/>
      </w:rPr>
    </w:lvl>
  </w:abstractNum>
  <w:abstractNum w:abstractNumId="1">
    <w:nsid w:val="D6202303"/>
    <w:multiLevelType w:val="singleLevel"/>
    <w:tmpl w:val="D6202303"/>
    <w:lvl w:ilvl="0" w:tentative="0">
      <w:start w:val="1"/>
      <w:numFmt w:val="decimal"/>
      <w:lvlText w:val="%1)"/>
      <w:lvlJc w:val="left"/>
      <w:pPr>
        <w:ind w:left="425" w:hanging="425"/>
      </w:pPr>
      <w:rPr>
        <w:rFonts w:hint="default"/>
      </w:rPr>
    </w:lvl>
  </w:abstractNum>
  <w:abstractNum w:abstractNumId="2">
    <w:nsid w:val="E37745FE"/>
    <w:multiLevelType w:val="singleLevel"/>
    <w:tmpl w:val="E37745FE"/>
    <w:lvl w:ilvl="0" w:tentative="0">
      <w:start w:val="1"/>
      <w:numFmt w:val="decimal"/>
      <w:lvlText w:val="%1)"/>
      <w:lvlJc w:val="left"/>
      <w:pPr>
        <w:ind w:left="425" w:hanging="425"/>
      </w:pPr>
      <w:rPr>
        <w:rFonts w:hint="default"/>
      </w:rPr>
    </w:lvl>
  </w:abstractNum>
  <w:abstractNum w:abstractNumId="3">
    <w:nsid w:val="00000001"/>
    <w:multiLevelType w:val="multilevel"/>
    <w:tmpl w:val="00000001"/>
    <w:lvl w:ilvl="0" w:tentative="0">
      <w:start w:val="1"/>
      <w:numFmt w:val="chineseCountingThousand"/>
      <w:lvlText w:val="附件%1"/>
      <w:lvlJc w:val="left"/>
      <w:pPr>
        <w:ind w:left="1272" w:hanging="420"/>
      </w:pPr>
      <w:rPr>
        <w:rFonts w:hint="eastAsia"/>
      </w:rPr>
    </w:lvl>
    <w:lvl w:ilvl="1" w:tentative="0">
      <w:start w:val="1"/>
      <w:numFmt w:val="lowerLetter"/>
      <w:lvlText w:val="%2)"/>
      <w:lvlJc w:val="left"/>
      <w:pPr>
        <w:ind w:left="1692" w:hanging="420"/>
      </w:pPr>
    </w:lvl>
    <w:lvl w:ilvl="2" w:tentative="0">
      <w:start w:val="1"/>
      <w:numFmt w:val="lowerRoman"/>
      <w:lvlText w:val="%3."/>
      <w:lvlJc w:val="right"/>
      <w:pPr>
        <w:ind w:left="2112" w:hanging="420"/>
      </w:pPr>
    </w:lvl>
    <w:lvl w:ilvl="3" w:tentative="0">
      <w:start w:val="1"/>
      <w:numFmt w:val="decimal"/>
      <w:lvlText w:val="%4."/>
      <w:lvlJc w:val="left"/>
      <w:pPr>
        <w:ind w:left="2532" w:hanging="420"/>
      </w:pPr>
    </w:lvl>
    <w:lvl w:ilvl="4" w:tentative="0">
      <w:start w:val="1"/>
      <w:numFmt w:val="lowerLetter"/>
      <w:lvlText w:val="%5)"/>
      <w:lvlJc w:val="left"/>
      <w:pPr>
        <w:ind w:left="2952" w:hanging="420"/>
      </w:pPr>
    </w:lvl>
    <w:lvl w:ilvl="5" w:tentative="0">
      <w:start w:val="1"/>
      <w:numFmt w:val="lowerRoman"/>
      <w:lvlText w:val="%6."/>
      <w:lvlJc w:val="right"/>
      <w:pPr>
        <w:ind w:left="3372" w:hanging="420"/>
      </w:pPr>
    </w:lvl>
    <w:lvl w:ilvl="6" w:tentative="0">
      <w:start w:val="1"/>
      <w:numFmt w:val="decimal"/>
      <w:lvlText w:val="%7."/>
      <w:lvlJc w:val="left"/>
      <w:pPr>
        <w:ind w:left="3792" w:hanging="420"/>
      </w:pPr>
    </w:lvl>
    <w:lvl w:ilvl="7" w:tentative="0">
      <w:start w:val="1"/>
      <w:numFmt w:val="lowerLetter"/>
      <w:lvlText w:val="%8)"/>
      <w:lvlJc w:val="left"/>
      <w:pPr>
        <w:ind w:left="4212" w:hanging="420"/>
      </w:pPr>
    </w:lvl>
    <w:lvl w:ilvl="8" w:tentative="0">
      <w:start w:val="1"/>
      <w:numFmt w:val="lowerRoman"/>
      <w:lvlText w:val="%9."/>
      <w:lvlJc w:val="right"/>
      <w:pPr>
        <w:ind w:left="4632" w:hanging="420"/>
      </w:pPr>
    </w:lvl>
  </w:abstractNum>
  <w:abstractNum w:abstractNumId="4">
    <w:nsid w:val="0A57500B"/>
    <w:multiLevelType w:val="multilevel"/>
    <w:tmpl w:val="0A57500B"/>
    <w:lvl w:ilvl="0" w:tentative="0">
      <w:start w:val="1"/>
      <w:numFmt w:val="japaneseCounting"/>
      <w:lvlText w:val="%1、"/>
      <w:lvlJc w:val="left"/>
      <w:pPr>
        <w:ind w:left="1110" w:hanging="51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5">
    <w:nsid w:val="1D255E65"/>
    <w:multiLevelType w:val="singleLevel"/>
    <w:tmpl w:val="1D255E65"/>
    <w:lvl w:ilvl="0" w:tentative="0">
      <w:start w:val="1"/>
      <w:numFmt w:val="decimal"/>
      <w:lvlText w:val="%1."/>
      <w:lvlJc w:val="left"/>
      <w:pPr>
        <w:tabs>
          <w:tab w:val="left" w:pos="312"/>
        </w:tabs>
      </w:pPr>
    </w:lvl>
  </w:abstractNum>
  <w:abstractNum w:abstractNumId="6">
    <w:nsid w:val="556A889F"/>
    <w:multiLevelType w:val="singleLevel"/>
    <w:tmpl w:val="556A889F"/>
    <w:lvl w:ilvl="0" w:tentative="0">
      <w:start w:val="1"/>
      <w:numFmt w:val="decimal"/>
      <w:lvlText w:val="%1)"/>
      <w:lvlJc w:val="left"/>
      <w:pPr>
        <w:ind w:left="425" w:hanging="425"/>
      </w:pPr>
      <w:rPr>
        <w:rFonts w:hint="default"/>
      </w:rPr>
    </w:lvl>
  </w:abstractNum>
  <w:abstractNum w:abstractNumId="7">
    <w:nsid w:val="6099A159"/>
    <w:multiLevelType w:val="singleLevel"/>
    <w:tmpl w:val="6099A159"/>
    <w:lvl w:ilvl="0" w:tentative="0">
      <w:start w:val="1"/>
      <w:numFmt w:val="decimal"/>
      <w:suff w:val="nothing"/>
      <w:lvlText w:val="%1、"/>
      <w:lvlJc w:val="left"/>
    </w:lvl>
  </w:abstractNum>
  <w:abstractNum w:abstractNumId="8">
    <w:nsid w:val="6D2D0CDB"/>
    <w:multiLevelType w:val="singleLevel"/>
    <w:tmpl w:val="6D2D0CDB"/>
    <w:lvl w:ilvl="0" w:tentative="0">
      <w:start w:val="1"/>
      <w:numFmt w:val="decimal"/>
      <w:lvlText w:val="%1)"/>
      <w:lvlJc w:val="left"/>
      <w:pPr>
        <w:ind w:left="425" w:hanging="425"/>
      </w:pPr>
      <w:rPr>
        <w:rFonts w:hint="default"/>
      </w:rPr>
    </w:lvl>
  </w:abstractNum>
  <w:abstractNum w:abstractNumId="9">
    <w:nsid w:val="79B4CE6F"/>
    <w:multiLevelType w:val="singleLevel"/>
    <w:tmpl w:val="79B4CE6F"/>
    <w:lvl w:ilvl="0" w:tentative="0">
      <w:start w:val="1"/>
      <w:numFmt w:val="decimal"/>
      <w:suff w:val="nothing"/>
      <w:lvlText w:val="（%1）"/>
      <w:lvlJc w:val="left"/>
    </w:lvl>
  </w:abstractNum>
  <w:num w:numId="1">
    <w:abstractNumId w:val="7"/>
  </w:num>
  <w:num w:numId="2">
    <w:abstractNumId w:val="3"/>
  </w:num>
  <w:num w:numId="3">
    <w:abstractNumId w:val="0"/>
  </w:num>
  <w:num w:numId="4">
    <w:abstractNumId w:val="2"/>
  </w:num>
  <w:num w:numId="5">
    <w:abstractNumId w:val="1"/>
  </w:num>
  <w:num w:numId="6">
    <w:abstractNumId w:val="6"/>
  </w:num>
  <w:num w:numId="7">
    <w:abstractNumId w:val="9"/>
  </w:num>
  <w:num w:numId="8">
    <w:abstractNumId w:val="8"/>
  </w:num>
  <w:num w:numId="9">
    <w:abstractNumId w:val="5"/>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val="1"/>
  <w:bordersDoNotSurroundHeader w:val="1"/>
  <w:bordersDoNotSurroundFooter w:val="1"/>
  <w:trackRevisions w:val="1"/>
  <w:documentProtection w:edit="readOnly" w:formatting="1" w:enforcement="0"/>
  <w:defaultTabStop w:val="420"/>
  <w:drawingGridVerticalSpacing w:val="159"/>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5ED0"/>
    <w:rsid w:val="000004EF"/>
    <w:rsid w:val="00005B73"/>
    <w:rsid w:val="00012BFA"/>
    <w:rsid w:val="00013A6D"/>
    <w:rsid w:val="0001425B"/>
    <w:rsid w:val="0001540B"/>
    <w:rsid w:val="000205D8"/>
    <w:rsid w:val="000229C5"/>
    <w:rsid w:val="00033675"/>
    <w:rsid w:val="000406AF"/>
    <w:rsid w:val="00040A17"/>
    <w:rsid w:val="00044BA6"/>
    <w:rsid w:val="00046302"/>
    <w:rsid w:val="00046D68"/>
    <w:rsid w:val="00055419"/>
    <w:rsid w:val="00060CA1"/>
    <w:rsid w:val="0006112D"/>
    <w:rsid w:val="00063F50"/>
    <w:rsid w:val="00066EBD"/>
    <w:rsid w:val="000748F6"/>
    <w:rsid w:val="00077D01"/>
    <w:rsid w:val="000930FE"/>
    <w:rsid w:val="000941B8"/>
    <w:rsid w:val="000A0257"/>
    <w:rsid w:val="000A108D"/>
    <w:rsid w:val="000A5AF5"/>
    <w:rsid w:val="000B0BD3"/>
    <w:rsid w:val="000B1D86"/>
    <w:rsid w:val="000B4228"/>
    <w:rsid w:val="000B72CC"/>
    <w:rsid w:val="000C0834"/>
    <w:rsid w:val="000C0A53"/>
    <w:rsid w:val="000C1FBE"/>
    <w:rsid w:val="000C2B30"/>
    <w:rsid w:val="000C327D"/>
    <w:rsid w:val="000D0A2A"/>
    <w:rsid w:val="000D2A43"/>
    <w:rsid w:val="000D4735"/>
    <w:rsid w:val="000D6353"/>
    <w:rsid w:val="000E4926"/>
    <w:rsid w:val="000E702E"/>
    <w:rsid w:val="000F2FC6"/>
    <w:rsid w:val="000F3A36"/>
    <w:rsid w:val="000F3CED"/>
    <w:rsid w:val="00102767"/>
    <w:rsid w:val="00102B2C"/>
    <w:rsid w:val="00102DF7"/>
    <w:rsid w:val="0011073F"/>
    <w:rsid w:val="00110AE9"/>
    <w:rsid w:val="001134D4"/>
    <w:rsid w:val="00113773"/>
    <w:rsid w:val="001156FB"/>
    <w:rsid w:val="001174B6"/>
    <w:rsid w:val="001264A1"/>
    <w:rsid w:val="00127276"/>
    <w:rsid w:val="00131D0A"/>
    <w:rsid w:val="00132557"/>
    <w:rsid w:val="00133885"/>
    <w:rsid w:val="00135697"/>
    <w:rsid w:val="00142B6B"/>
    <w:rsid w:val="001449F6"/>
    <w:rsid w:val="00144AF7"/>
    <w:rsid w:val="00146152"/>
    <w:rsid w:val="00152F22"/>
    <w:rsid w:val="001572AF"/>
    <w:rsid w:val="00157353"/>
    <w:rsid w:val="00162DA0"/>
    <w:rsid w:val="0016352B"/>
    <w:rsid w:val="0016665E"/>
    <w:rsid w:val="0016672B"/>
    <w:rsid w:val="0017142D"/>
    <w:rsid w:val="00171720"/>
    <w:rsid w:val="00172E88"/>
    <w:rsid w:val="0017396E"/>
    <w:rsid w:val="001844CB"/>
    <w:rsid w:val="0018470A"/>
    <w:rsid w:val="00191009"/>
    <w:rsid w:val="001925E5"/>
    <w:rsid w:val="00196F6D"/>
    <w:rsid w:val="00196FE0"/>
    <w:rsid w:val="001A3977"/>
    <w:rsid w:val="001B640C"/>
    <w:rsid w:val="001C1212"/>
    <w:rsid w:val="001C22FD"/>
    <w:rsid w:val="001C2793"/>
    <w:rsid w:val="001C279B"/>
    <w:rsid w:val="001C3C2F"/>
    <w:rsid w:val="001C4205"/>
    <w:rsid w:val="001D0EAA"/>
    <w:rsid w:val="001D1E9F"/>
    <w:rsid w:val="001D49F2"/>
    <w:rsid w:val="001D4F06"/>
    <w:rsid w:val="001D6D2F"/>
    <w:rsid w:val="001E0E9A"/>
    <w:rsid w:val="001E5462"/>
    <w:rsid w:val="001E6968"/>
    <w:rsid w:val="001F4852"/>
    <w:rsid w:val="001F5118"/>
    <w:rsid w:val="001F7CAF"/>
    <w:rsid w:val="002000CE"/>
    <w:rsid w:val="002008CC"/>
    <w:rsid w:val="00202F6E"/>
    <w:rsid w:val="00204419"/>
    <w:rsid w:val="00204CA5"/>
    <w:rsid w:val="00205987"/>
    <w:rsid w:val="00205F12"/>
    <w:rsid w:val="0020770D"/>
    <w:rsid w:val="00210BCF"/>
    <w:rsid w:val="002117B0"/>
    <w:rsid w:val="00214478"/>
    <w:rsid w:val="00214FC3"/>
    <w:rsid w:val="00215784"/>
    <w:rsid w:val="00215DF7"/>
    <w:rsid w:val="00217B83"/>
    <w:rsid w:val="00220762"/>
    <w:rsid w:val="00220B5C"/>
    <w:rsid w:val="00227F84"/>
    <w:rsid w:val="00230F07"/>
    <w:rsid w:val="00230F3F"/>
    <w:rsid w:val="00231A14"/>
    <w:rsid w:val="00232148"/>
    <w:rsid w:val="00237233"/>
    <w:rsid w:val="00244C63"/>
    <w:rsid w:val="00251A8B"/>
    <w:rsid w:val="00254E0E"/>
    <w:rsid w:val="00255ACF"/>
    <w:rsid w:val="002569C5"/>
    <w:rsid w:val="00263E56"/>
    <w:rsid w:val="0026670C"/>
    <w:rsid w:val="00281E22"/>
    <w:rsid w:val="00284F27"/>
    <w:rsid w:val="00294EC6"/>
    <w:rsid w:val="002A1845"/>
    <w:rsid w:val="002A40C3"/>
    <w:rsid w:val="002A5A03"/>
    <w:rsid w:val="002A736D"/>
    <w:rsid w:val="002C02EB"/>
    <w:rsid w:val="002D3568"/>
    <w:rsid w:val="002D4476"/>
    <w:rsid w:val="002D604E"/>
    <w:rsid w:val="002D64BE"/>
    <w:rsid w:val="002D78C2"/>
    <w:rsid w:val="002E2198"/>
    <w:rsid w:val="002E319B"/>
    <w:rsid w:val="002E40BD"/>
    <w:rsid w:val="002E70A3"/>
    <w:rsid w:val="002E7B26"/>
    <w:rsid w:val="002F2DE0"/>
    <w:rsid w:val="002F3728"/>
    <w:rsid w:val="002F3DE0"/>
    <w:rsid w:val="002F4199"/>
    <w:rsid w:val="002F5DC3"/>
    <w:rsid w:val="002F66D5"/>
    <w:rsid w:val="003003AD"/>
    <w:rsid w:val="003039A2"/>
    <w:rsid w:val="00310903"/>
    <w:rsid w:val="0031424A"/>
    <w:rsid w:val="00314845"/>
    <w:rsid w:val="00315A7E"/>
    <w:rsid w:val="00315E82"/>
    <w:rsid w:val="00316C74"/>
    <w:rsid w:val="00324101"/>
    <w:rsid w:val="00331421"/>
    <w:rsid w:val="00334365"/>
    <w:rsid w:val="003365A3"/>
    <w:rsid w:val="00340DE8"/>
    <w:rsid w:val="0034302C"/>
    <w:rsid w:val="003466C4"/>
    <w:rsid w:val="00347BD1"/>
    <w:rsid w:val="003533E6"/>
    <w:rsid w:val="003542F4"/>
    <w:rsid w:val="00356D07"/>
    <w:rsid w:val="00365A9E"/>
    <w:rsid w:val="003741E3"/>
    <w:rsid w:val="00376CE2"/>
    <w:rsid w:val="003776A2"/>
    <w:rsid w:val="00396DB6"/>
    <w:rsid w:val="003A1866"/>
    <w:rsid w:val="003A2E98"/>
    <w:rsid w:val="003B03C0"/>
    <w:rsid w:val="003B233D"/>
    <w:rsid w:val="003B5489"/>
    <w:rsid w:val="003B664F"/>
    <w:rsid w:val="003B6841"/>
    <w:rsid w:val="003C5C24"/>
    <w:rsid w:val="003C5F72"/>
    <w:rsid w:val="003D6FC9"/>
    <w:rsid w:val="003E3A3F"/>
    <w:rsid w:val="003E4DE6"/>
    <w:rsid w:val="003E7077"/>
    <w:rsid w:val="003E7F8F"/>
    <w:rsid w:val="003F1A08"/>
    <w:rsid w:val="003F4157"/>
    <w:rsid w:val="003F4F3C"/>
    <w:rsid w:val="003F7371"/>
    <w:rsid w:val="00401B6B"/>
    <w:rsid w:val="00407262"/>
    <w:rsid w:val="0041095A"/>
    <w:rsid w:val="00412BC5"/>
    <w:rsid w:val="00416DC3"/>
    <w:rsid w:val="004202AB"/>
    <w:rsid w:val="004232C5"/>
    <w:rsid w:val="004234B9"/>
    <w:rsid w:val="0043055E"/>
    <w:rsid w:val="004307EF"/>
    <w:rsid w:val="004333CD"/>
    <w:rsid w:val="0043628E"/>
    <w:rsid w:val="004407A6"/>
    <w:rsid w:val="004421F0"/>
    <w:rsid w:val="00443E79"/>
    <w:rsid w:val="0044693C"/>
    <w:rsid w:val="00446E82"/>
    <w:rsid w:val="00451962"/>
    <w:rsid w:val="00452C7D"/>
    <w:rsid w:val="00455511"/>
    <w:rsid w:val="004623DC"/>
    <w:rsid w:val="004655CC"/>
    <w:rsid w:val="00474915"/>
    <w:rsid w:val="004801A3"/>
    <w:rsid w:val="00480455"/>
    <w:rsid w:val="0048587B"/>
    <w:rsid w:val="00485FBD"/>
    <w:rsid w:val="00486C6C"/>
    <w:rsid w:val="00487CEB"/>
    <w:rsid w:val="00491E00"/>
    <w:rsid w:val="00495FB1"/>
    <w:rsid w:val="00496744"/>
    <w:rsid w:val="004A57C5"/>
    <w:rsid w:val="004A699E"/>
    <w:rsid w:val="004A6D16"/>
    <w:rsid w:val="004B4047"/>
    <w:rsid w:val="004C1A98"/>
    <w:rsid w:val="004D449D"/>
    <w:rsid w:val="004D4664"/>
    <w:rsid w:val="004D7DFB"/>
    <w:rsid w:val="004E0A2E"/>
    <w:rsid w:val="004E5A15"/>
    <w:rsid w:val="004E611C"/>
    <w:rsid w:val="004F2DA5"/>
    <w:rsid w:val="004F344F"/>
    <w:rsid w:val="004F4463"/>
    <w:rsid w:val="004F5933"/>
    <w:rsid w:val="004F6B03"/>
    <w:rsid w:val="00500A4A"/>
    <w:rsid w:val="00502657"/>
    <w:rsid w:val="00502D44"/>
    <w:rsid w:val="00502FEB"/>
    <w:rsid w:val="00504A13"/>
    <w:rsid w:val="00506B17"/>
    <w:rsid w:val="00507BFD"/>
    <w:rsid w:val="00510BFB"/>
    <w:rsid w:val="005172C5"/>
    <w:rsid w:val="00520138"/>
    <w:rsid w:val="00520C9B"/>
    <w:rsid w:val="00522726"/>
    <w:rsid w:val="005260B4"/>
    <w:rsid w:val="00531D40"/>
    <w:rsid w:val="00534635"/>
    <w:rsid w:val="005371FF"/>
    <w:rsid w:val="0053789A"/>
    <w:rsid w:val="00541925"/>
    <w:rsid w:val="00547CD8"/>
    <w:rsid w:val="00552739"/>
    <w:rsid w:val="00565B17"/>
    <w:rsid w:val="00577E08"/>
    <w:rsid w:val="0058123D"/>
    <w:rsid w:val="00583AD2"/>
    <w:rsid w:val="00585A78"/>
    <w:rsid w:val="00590112"/>
    <w:rsid w:val="00591B1D"/>
    <w:rsid w:val="0059624F"/>
    <w:rsid w:val="00596C79"/>
    <w:rsid w:val="00596E46"/>
    <w:rsid w:val="005A6A9A"/>
    <w:rsid w:val="005A74C6"/>
    <w:rsid w:val="005B2CF0"/>
    <w:rsid w:val="005B48FC"/>
    <w:rsid w:val="005B5CA2"/>
    <w:rsid w:val="005C0CE3"/>
    <w:rsid w:val="005C6227"/>
    <w:rsid w:val="005C6EA8"/>
    <w:rsid w:val="005C7810"/>
    <w:rsid w:val="005D35AA"/>
    <w:rsid w:val="005D3E6E"/>
    <w:rsid w:val="005E0EA3"/>
    <w:rsid w:val="005E1C0B"/>
    <w:rsid w:val="005E32B9"/>
    <w:rsid w:val="005E5558"/>
    <w:rsid w:val="005E6529"/>
    <w:rsid w:val="005F1911"/>
    <w:rsid w:val="005F3BDE"/>
    <w:rsid w:val="00600AE6"/>
    <w:rsid w:val="00602626"/>
    <w:rsid w:val="00610E99"/>
    <w:rsid w:val="00611986"/>
    <w:rsid w:val="006155F4"/>
    <w:rsid w:val="0062185C"/>
    <w:rsid w:val="00622BE3"/>
    <w:rsid w:val="00622CF5"/>
    <w:rsid w:val="00622CFE"/>
    <w:rsid w:val="00623832"/>
    <w:rsid w:val="0063300F"/>
    <w:rsid w:val="00633DF9"/>
    <w:rsid w:val="0063462C"/>
    <w:rsid w:val="0063550A"/>
    <w:rsid w:val="006503CD"/>
    <w:rsid w:val="00664575"/>
    <w:rsid w:val="0066621E"/>
    <w:rsid w:val="006662F0"/>
    <w:rsid w:val="006819A3"/>
    <w:rsid w:val="00681EC9"/>
    <w:rsid w:val="006903E3"/>
    <w:rsid w:val="0069121F"/>
    <w:rsid w:val="0069444D"/>
    <w:rsid w:val="006965CD"/>
    <w:rsid w:val="006A33C7"/>
    <w:rsid w:val="006A736D"/>
    <w:rsid w:val="006A7498"/>
    <w:rsid w:val="006B4C1F"/>
    <w:rsid w:val="006B4CED"/>
    <w:rsid w:val="006B507A"/>
    <w:rsid w:val="006B7469"/>
    <w:rsid w:val="006B75C4"/>
    <w:rsid w:val="006D0011"/>
    <w:rsid w:val="006D27EF"/>
    <w:rsid w:val="006D2FC6"/>
    <w:rsid w:val="006D4357"/>
    <w:rsid w:val="006D4BC0"/>
    <w:rsid w:val="006D7A45"/>
    <w:rsid w:val="006D7B9B"/>
    <w:rsid w:val="006E0C5E"/>
    <w:rsid w:val="006E25F2"/>
    <w:rsid w:val="006E4796"/>
    <w:rsid w:val="006E4D47"/>
    <w:rsid w:val="006F0353"/>
    <w:rsid w:val="006F0D51"/>
    <w:rsid w:val="006F1310"/>
    <w:rsid w:val="006F20F5"/>
    <w:rsid w:val="006F54BF"/>
    <w:rsid w:val="0070054D"/>
    <w:rsid w:val="007034C7"/>
    <w:rsid w:val="00703719"/>
    <w:rsid w:val="00703AD4"/>
    <w:rsid w:val="007048CE"/>
    <w:rsid w:val="00705A9F"/>
    <w:rsid w:val="00705FD2"/>
    <w:rsid w:val="0071376E"/>
    <w:rsid w:val="00715CF6"/>
    <w:rsid w:val="00716C48"/>
    <w:rsid w:val="00721328"/>
    <w:rsid w:val="007214BF"/>
    <w:rsid w:val="00727DFA"/>
    <w:rsid w:val="0073117E"/>
    <w:rsid w:val="007316E7"/>
    <w:rsid w:val="00732A88"/>
    <w:rsid w:val="00743008"/>
    <w:rsid w:val="007469CE"/>
    <w:rsid w:val="007514E1"/>
    <w:rsid w:val="007523F5"/>
    <w:rsid w:val="00754246"/>
    <w:rsid w:val="00756783"/>
    <w:rsid w:val="00757900"/>
    <w:rsid w:val="00770201"/>
    <w:rsid w:val="0077406B"/>
    <w:rsid w:val="00782C1C"/>
    <w:rsid w:val="00786D41"/>
    <w:rsid w:val="007878BE"/>
    <w:rsid w:val="00790782"/>
    <w:rsid w:val="00791FC9"/>
    <w:rsid w:val="00792AAE"/>
    <w:rsid w:val="00797538"/>
    <w:rsid w:val="00797AC3"/>
    <w:rsid w:val="007A190D"/>
    <w:rsid w:val="007A5A05"/>
    <w:rsid w:val="007B2038"/>
    <w:rsid w:val="007C3E36"/>
    <w:rsid w:val="007C518E"/>
    <w:rsid w:val="007C5A82"/>
    <w:rsid w:val="007C6D1F"/>
    <w:rsid w:val="007C7196"/>
    <w:rsid w:val="007D4967"/>
    <w:rsid w:val="007E314C"/>
    <w:rsid w:val="007E31BF"/>
    <w:rsid w:val="007E4E6E"/>
    <w:rsid w:val="007F29D4"/>
    <w:rsid w:val="007F359B"/>
    <w:rsid w:val="007F6003"/>
    <w:rsid w:val="007F6810"/>
    <w:rsid w:val="00800EA1"/>
    <w:rsid w:val="008053AE"/>
    <w:rsid w:val="008107BC"/>
    <w:rsid w:val="008107C9"/>
    <w:rsid w:val="00812090"/>
    <w:rsid w:val="008139B0"/>
    <w:rsid w:val="008350F5"/>
    <w:rsid w:val="00835C88"/>
    <w:rsid w:val="008405E2"/>
    <w:rsid w:val="008412A7"/>
    <w:rsid w:val="008425E2"/>
    <w:rsid w:val="00843086"/>
    <w:rsid w:val="00844DBC"/>
    <w:rsid w:val="00847E4A"/>
    <w:rsid w:val="00850392"/>
    <w:rsid w:val="00853482"/>
    <w:rsid w:val="00853C43"/>
    <w:rsid w:val="00854DD0"/>
    <w:rsid w:val="00854E40"/>
    <w:rsid w:val="008558E9"/>
    <w:rsid w:val="008628B6"/>
    <w:rsid w:val="008649CD"/>
    <w:rsid w:val="00867BC7"/>
    <w:rsid w:val="00874C9C"/>
    <w:rsid w:val="00875795"/>
    <w:rsid w:val="00880193"/>
    <w:rsid w:val="00880D0D"/>
    <w:rsid w:val="0088194E"/>
    <w:rsid w:val="00883D24"/>
    <w:rsid w:val="00884B5D"/>
    <w:rsid w:val="00885FDC"/>
    <w:rsid w:val="00891391"/>
    <w:rsid w:val="008924EB"/>
    <w:rsid w:val="008A0B5F"/>
    <w:rsid w:val="008A17BF"/>
    <w:rsid w:val="008A308C"/>
    <w:rsid w:val="008A3D57"/>
    <w:rsid w:val="008B0C71"/>
    <w:rsid w:val="008B2A74"/>
    <w:rsid w:val="008B3285"/>
    <w:rsid w:val="008B41A6"/>
    <w:rsid w:val="008B58BB"/>
    <w:rsid w:val="008C6297"/>
    <w:rsid w:val="008D1332"/>
    <w:rsid w:val="008D4710"/>
    <w:rsid w:val="008D63F4"/>
    <w:rsid w:val="008D6B16"/>
    <w:rsid w:val="008E16C6"/>
    <w:rsid w:val="008E195B"/>
    <w:rsid w:val="008E52AB"/>
    <w:rsid w:val="008E57B6"/>
    <w:rsid w:val="008E718F"/>
    <w:rsid w:val="008E742C"/>
    <w:rsid w:val="008F00D0"/>
    <w:rsid w:val="008F36EF"/>
    <w:rsid w:val="008F44F8"/>
    <w:rsid w:val="008F63E9"/>
    <w:rsid w:val="00902C7C"/>
    <w:rsid w:val="00902CAA"/>
    <w:rsid w:val="00902E6B"/>
    <w:rsid w:val="00904436"/>
    <w:rsid w:val="00904CD4"/>
    <w:rsid w:val="00913C1B"/>
    <w:rsid w:val="009168C2"/>
    <w:rsid w:val="00917F7A"/>
    <w:rsid w:val="00926ED4"/>
    <w:rsid w:val="00927186"/>
    <w:rsid w:val="00932C9F"/>
    <w:rsid w:val="009376C6"/>
    <w:rsid w:val="009432FE"/>
    <w:rsid w:val="009438E7"/>
    <w:rsid w:val="00943A2D"/>
    <w:rsid w:val="0095058D"/>
    <w:rsid w:val="00956102"/>
    <w:rsid w:val="00957B3A"/>
    <w:rsid w:val="009615F7"/>
    <w:rsid w:val="00973B33"/>
    <w:rsid w:val="00982847"/>
    <w:rsid w:val="009833A7"/>
    <w:rsid w:val="00985BE3"/>
    <w:rsid w:val="00985E72"/>
    <w:rsid w:val="00987F9D"/>
    <w:rsid w:val="00990E62"/>
    <w:rsid w:val="009A09F3"/>
    <w:rsid w:val="009A1A4D"/>
    <w:rsid w:val="009A2F74"/>
    <w:rsid w:val="009A5231"/>
    <w:rsid w:val="009B0DC5"/>
    <w:rsid w:val="009B1617"/>
    <w:rsid w:val="009B38A1"/>
    <w:rsid w:val="009B3D46"/>
    <w:rsid w:val="009B5312"/>
    <w:rsid w:val="009C083C"/>
    <w:rsid w:val="009C0C2E"/>
    <w:rsid w:val="009C4FAE"/>
    <w:rsid w:val="009C6F7D"/>
    <w:rsid w:val="009D14DA"/>
    <w:rsid w:val="009D1E4C"/>
    <w:rsid w:val="009D2908"/>
    <w:rsid w:val="009D3E22"/>
    <w:rsid w:val="009E38FC"/>
    <w:rsid w:val="009E737B"/>
    <w:rsid w:val="009E7FAB"/>
    <w:rsid w:val="009F03D0"/>
    <w:rsid w:val="009F0572"/>
    <w:rsid w:val="009F35D0"/>
    <w:rsid w:val="009F7302"/>
    <w:rsid w:val="00A057AD"/>
    <w:rsid w:val="00A067B9"/>
    <w:rsid w:val="00A0698A"/>
    <w:rsid w:val="00A07362"/>
    <w:rsid w:val="00A07462"/>
    <w:rsid w:val="00A11CF1"/>
    <w:rsid w:val="00A1308E"/>
    <w:rsid w:val="00A133D8"/>
    <w:rsid w:val="00A150A2"/>
    <w:rsid w:val="00A23C70"/>
    <w:rsid w:val="00A23E2D"/>
    <w:rsid w:val="00A25FAB"/>
    <w:rsid w:val="00A2618C"/>
    <w:rsid w:val="00A31649"/>
    <w:rsid w:val="00A34A4A"/>
    <w:rsid w:val="00A35D50"/>
    <w:rsid w:val="00A46C5D"/>
    <w:rsid w:val="00A4775F"/>
    <w:rsid w:val="00A50335"/>
    <w:rsid w:val="00A63FA2"/>
    <w:rsid w:val="00A66B3C"/>
    <w:rsid w:val="00A66DD5"/>
    <w:rsid w:val="00A85934"/>
    <w:rsid w:val="00A861A2"/>
    <w:rsid w:val="00A86C67"/>
    <w:rsid w:val="00A90C47"/>
    <w:rsid w:val="00A92FA0"/>
    <w:rsid w:val="00A95B2F"/>
    <w:rsid w:val="00A95CB0"/>
    <w:rsid w:val="00A96590"/>
    <w:rsid w:val="00A9659D"/>
    <w:rsid w:val="00AA0328"/>
    <w:rsid w:val="00AA301E"/>
    <w:rsid w:val="00AA69D6"/>
    <w:rsid w:val="00AB24A2"/>
    <w:rsid w:val="00AB4398"/>
    <w:rsid w:val="00AB52FE"/>
    <w:rsid w:val="00AB668A"/>
    <w:rsid w:val="00AB763E"/>
    <w:rsid w:val="00AC0E0C"/>
    <w:rsid w:val="00AC2985"/>
    <w:rsid w:val="00AC3A72"/>
    <w:rsid w:val="00AC4255"/>
    <w:rsid w:val="00AC6A29"/>
    <w:rsid w:val="00AD0D60"/>
    <w:rsid w:val="00AD1670"/>
    <w:rsid w:val="00AD2C6E"/>
    <w:rsid w:val="00AD72DD"/>
    <w:rsid w:val="00AE0880"/>
    <w:rsid w:val="00AE0DB1"/>
    <w:rsid w:val="00AF04F6"/>
    <w:rsid w:val="00AF089C"/>
    <w:rsid w:val="00AF692D"/>
    <w:rsid w:val="00AF6D90"/>
    <w:rsid w:val="00B0168C"/>
    <w:rsid w:val="00B042D2"/>
    <w:rsid w:val="00B04A3E"/>
    <w:rsid w:val="00B0688E"/>
    <w:rsid w:val="00B07D64"/>
    <w:rsid w:val="00B132E4"/>
    <w:rsid w:val="00B13B0A"/>
    <w:rsid w:val="00B14C6E"/>
    <w:rsid w:val="00B20140"/>
    <w:rsid w:val="00B218FE"/>
    <w:rsid w:val="00B21C59"/>
    <w:rsid w:val="00B25EE6"/>
    <w:rsid w:val="00B32881"/>
    <w:rsid w:val="00B41981"/>
    <w:rsid w:val="00B41A9A"/>
    <w:rsid w:val="00B4372A"/>
    <w:rsid w:val="00B43BAC"/>
    <w:rsid w:val="00B44693"/>
    <w:rsid w:val="00B47C64"/>
    <w:rsid w:val="00B53783"/>
    <w:rsid w:val="00B57A9D"/>
    <w:rsid w:val="00B62A41"/>
    <w:rsid w:val="00B736FF"/>
    <w:rsid w:val="00B75E79"/>
    <w:rsid w:val="00B75F0E"/>
    <w:rsid w:val="00B77A5D"/>
    <w:rsid w:val="00B81FBD"/>
    <w:rsid w:val="00B85787"/>
    <w:rsid w:val="00B85ADE"/>
    <w:rsid w:val="00B86D72"/>
    <w:rsid w:val="00B87690"/>
    <w:rsid w:val="00B9040F"/>
    <w:rsid w:val="00B93E16"/>
    <w:rsid w:val="00B94B7E"/>
    <w:rsid w:val="00B97EA6"/>
    <w:rsid w:val="00BA1D82"/>
    <w:rsid w:val="00BA203C"/>
    <w:rsid w:val="00BA241E"/>
    <w:rsid w:val="00BB1012"/>
    <w:rsid w:val="00BB1105"/>
    <w:rsid w:val="00BB21E0"/>
    <w:rsid w:val="00BB59FB"/>
    <w:rsid w:val="00BC078B"/>
    <w:rsid w:val="00BC1A2B"/>
    <w:rsid w:val="00BC2448"/>
    <w:rsid w:val="00BC2BEC"/>
    <w:rsid w:val="00BC5D73"/>
    <w:rsid w:val="00BD3732"/>
    <w:rsid w:val="00BD492C"/>
    <w:rsid w:val="00BD5ED0"/>
    <w:rsid w:val="00BD7534"/>
    <w:rsid w:val="00BD7E12"/>
    <w:rsid w:val="00BE62A7"/>
    <w:rsid w:val="00BE62B0"/>
    <w:rsid w:val="00BF0FB2"/>
    <w:rsid w:val="00BF1645"/>
    <w:rsid w:val="00BF1F64"/>
    <w:rsid w:val="00BF2792"/>
    <w:rsid w:val="00BF3322"/>
    <w:rsid w:val="00BF4097"/>
    <w:rsid w:val="00BF4C0C"/>
    <w:rsid w:val="00BF7B3D"/>
    <w:rsid w:val="00C11D94"/>
    <w:rsid w:val="00C1317C"/>
    <w:rsid w:val="00C139AD"/>
    <w:rsid w:val="00C141B2"/>
    <w:rsid w:val="00C15516"/>
    <w:rsid w:val="00C177F2"/>
    <w:rsid w:val="00C231D2"/>
    <w:rsid w:val="00C25B6F"/>
    <w:rsid w:val="00C2782C"/>
    <w:rsid w:val="00C33CF5"/>
    <w:rsid w:val="00C52C93"/>
    <w:rsid w:val="00C60158"/>
    <w:rsid w:val="00C72ECE"/>
    <w:rsid w:val="00C76611"/>
    <w:rsid w:val="00C77D98"/>
    <w:rsid w:val="00C84880"/>
    <w:rsid w:val="00C84B68"/>
    <w:rsid w:val="00C85FDF"/>
    <w:rsid w:val="00C86EDD"/>
    <w:rsid w:val="00C91551"/>
    <w:rsid w:val="00C9344C"/>
    <w:rsid w:val="00C9413C"/>
    <w:rsid w:val="00CA2AB5"/>
    <w:rsid w:val="00CA4984"/>
    <w:rsid w:val="00CA5C70"/>
    <w:rsid w:val="00CB169A"/>
    <w:rsid w:val="00CB2203"/>
    <w:rsid w:val="00CC6B2E"/>
    <w:rsid w:val="00CD057C"/>
    <w:rsid w:val="00CD34AB"/>
    <w:rsid w:val="00CD4DD7"/>
    <w:rsid w:val="00CE2BC2"/>
    <w:rsid w:val="00CE3012"/>
    <w:rsid w:val="00CE5F48"/>
    <w:rsid w:val="00CE7A9A"/>
    <w:rsid w:val="00CE7B00"/>
    <w:rsid w:val="00CF0C8F"/>
    <w:rsid w:val="00CF7EB5"/>
    <w:rsid w:val="00D139DF"/>
    <w:rsid w:val="00D214ED"/>
    <w:rsid w:val="00D2717E"/>
    <w:rsid w:val="00D30A88"/>
    <w:rsid w:val="00D320E7"/>
    <w:rsid w:val="00D32495"/>
    <w:rsid w:val="00D33903"/>
    <w:rsid w:val="00D37CB7"/>
    <w:rsid w:val="00D40A5E"/>
    <w:rsid w:val="00D44E5D"/>
    <w:rsid w:val="00D45A27"/>
    <w:rsid w:val="00D46E62"/>
    <w:rsid w:val="00D52541"/>
    <w:rsid w:val="00D52B2D"/>
    <w:rsid w:val="00D57111"/>
    <w:rsid w:val="00D60749"/>
    <w:rsid w:val="00D62CB6"/>
    <w:rsid w:val="00D72008"/>
    <w:rsid w:val="00D808B0"/>
    <w:rsid w:val="00D814B6"/>
    <w:rsid w:val="00D828A6"/>
    <w:rsid w:val="00D8399F"/>
    <w:rsid w:val="00D84622"/>
    <w:rsid w:val="00D84940"/>
    <w:rsid w:val="00D862F8"/>
    <w:rsid w:val="00D87CB9"/>
    <w:rsid w:val="00D87CFA"/>
    <w:rsid w:val="00D9132D"/>
    <w:rsid w:val="00D937D4"/>
    <w:rsid w:val="00D968BD"/>
    <w:rsid w:val="00DA15E1"/>
    <w:rsid w:val="00DA502E"/>
    <w:rsid w:val="00DA5E27"/>
    <w:rsid w:val="00DA773E"/>
    <w:rsid w:val="00DA7E5B"/>
    <w:rsid w:val="00DB0309"/>
    <w:rsid w:val="00DB11D7"/>
    <w:rsid w:val="00DB243E"/>
    <w:rsid w:val="00DB25FB"/>
    <w:rsid w:val="00DB3AA9"/>
    <w:rsid w:val="00DB6E4E"/>
    <w:rsid w:val="00DC2454"/>
    <w:rsid w:val="00DC5616"/>
    <w:rsid w:val="00DD0DB8"/>
    <w:rsid w:val="00DD2931"/>
    <w:rsid w:val="00DD2DB5"/>
    <w:rsid w:val="00DD2E0C"/>
    <w:rsid w:val="00DD3DB6"/>
    <w:rsid w:val="00DE3D22"/>
    <w:rsid w:val="00DE654E"/>
    <w:rsid w:val="00DE72B9"/>
    <w:rsid w:val="00DF4ECA"/>
    <w:rsid w:val="00DF5183"/>
    <w:rsid w:val="00E00D31"/>
    <w:rsid w:val="00E0775D"/>
    <w:rsid w:val="00E20047"/>
    <w:rsid w:val="00E201D0"/>
    <w:rsid w:val="00E20288"/>
    <w:rsid w:val="00E23315"/>
    <w:rsid w:val="00E23760"/>
    <w:rsid w:val="00E24EF4"/>
    <w:rsid w:val="00E426F7"/>
    <w:rsid w:val="00E444B2"/>
    <w:rsid w:val="00E50267"/>
    <w:rsid w:val="00E55C56"/>
    <w:rsid w:val="00E6203A"/>
    <w:rsid w:val="00E678F0"/>
    <w:rsid w:val="00E727ED"/>
    <w:rsid w:val="00E74FAF"/>
    <w:rsid w:val="00E757DE"/>
    <w:rsid w:val="00E766E5"/>
    <w:rsid w:val="00E76DF9"/>
    <w:rsid w:val="00E838BA"/>
    <w:rsid w:val="00E83B51"/>
    <w:rsid w:val="00E91BC8"/>
    <w:rsid w:val="00E932C5"/>
    <w:rsid w:val="00E93B7A"/>
    <w:rsid w:val="00E97B88"/>
    <w:rsid w:val="00EA6B31"/>
    <w:rsid w:val="00EB1199"/>
    <w:rsid w:val="00EB3FB9"/>
    <w:rsid w:val="00EB5B1E"/>
    <w:rsid w:val="00EB6AAA"/>
    <w:rsid w:val="00EC0694"/>
    <w:rsid w:val="00EC0C11"/>
    <w:rsid w:val="00EC5723"/>
    <w:rsid w:val="00EC5850"/>
    <w:rsid w:val="00EC62DC"/>
    <w:rsid w:val="00ED3944"/>
    <w:rsid w:val="00ED5E73"/>
    <w:rsid w:val="00EE22E4"/>
    <w:rsid w:val="00EE2B4F"/>
    <w:rsid w:val="00EE5B35"/>
    <w:rsid w:val="00EE7FAE"/>
    <w:rsid w:val="00EF2F76"/>
    <w:rsid w:val="00EF416D"/>
    <w:rsid w:val="00EF7C58"/>
    <w:rsid w:val="00F07767"/>
    <w:rsid w:val="00F11FC6"/>
    <w:rsid w:val="00F13C21"/>
    <w:rsid w:val="00F15584"/>
    <w:rsid w:val="00F1663F"/>
    <w:rsid w:val="00F22AF7"/>
    <w:rsid w:val="00F22CC5"/>
    <w:rsid w:val="00F2303A"/>
    <w:rsid w:val="00F236A2"/>
    <w:rsid w:val="00F27EC3"/>
    <w:rsid w:val="00F301A1"/>
    <w:rsid w:val="00F35D52"/>
    <w:rsid w:val="00F45042"/>
    <w:rsid w:val="00F45B8F"/>
    <w:rsid w:val="00F46A70"/>
    <w:rsid w:val="00F51C97"/>
    <w:rsid w:val="00F55724"/>
    <w:rsid w:val="00F57689"/>
    <w:rsid w:val="00F608BD"/>
    <w:rsid w:val="00F64A4E"/>
    <w:rsid w:val="00F64E40"/>
    <w:rsid w:val="00F77591"/>
    <w:rsid w:val="00F81C2D"/>
    <w:rsid w:val="00F94850"/>
    <w:rsid w:val="00F97E28"/>
    <w:rsid w:val="00FA0949"/>
    <w:rsid w:val="00FA6347"/>
    <w:rsid w:val="00FB196C"/>
    <w:rsid w:val="00FB1DFB"/>
    <w:rsid w:val="00FB2FDD"/>
    <w:rsid w:val="00FB75CE"/>
    <w:rsid w:val="00FC7D84"/>
    <w:rsid w:val="00FD326B"/>
    <w:rsid w:val="00FD5081"/>
    <w:rsid w:val="00FD50D4"/>
    <w:rsid w:val="00FD6094"/>
    <w:rsid w:val="00FE6E92"/>
    <w:rsid w:val="00FF5FA0"/>
    <w:rsid w:val="00FF79C5"/>
    <w:rsid w:val="0146532B"/>
    <w:rsid w:val="01A6227B"/>
    <w:rsid w:val="035D4211"/>
    <w:rsid w:val="037D5EE3"/>
    <w:rsid w:val="0392787B"/>
    <w:rsid w:val="0446206D"/>
    <w:rsid w:val="04A17E83"/>
    <w:rsid w:val="04CF6E29"/>
    <w:rsid w:val="059366CF"/>
    <w:rsid w:val="05D00163"/>
    <w:rsid w:val="060524C0"/>
    <w:rsid w:val="064C2277"/>
    <w:rsid w:val="06A8048E"/>
    <w:rsid w:val="07347967"/>
    <w:rsid w:val="077C34B8"/>
    <w:rsid w:val="07A209C4"/>
    <w:rsid w:val="07F47511"/>
    <w:rsid w:val="080D26DA"/>
    <w:rsid w:val="08284245"/>
    <w:rsid w:val="085C5373"/>
    <w:rsid w:val="086F1260"/>
    <w:rsid w:val="0880226D"/>
    <w:rsid w:val="088F5E13"/>
    <w:rsid w:val="089F2BDE"/>
    <w:rsid w:val="08BB2505"/>
    <w:rsid w:val="093E4F3B"/>
    <w:rsid w:val="09857AF7"/>
    <w:rsid w:val="099A07E1"/>
    <w:rsid w:val="09D50D6B"/>
    <w:rsid w:val="09EC6B6C"/>
    <w:rsid w:val="0A0C289A"/>
    <w:rsid w:val="0A1C6834"/>
    <w:rsid w:val="0A9B4FED"/>
    <w:rsid w:val="0AA63D44"/>
    <w:rsid w:val="0AB811A5"/>
    <w:rsid w:val="0B0C0A79"/>
    <w:rsid w:val="0B3C7C33"/>
    <w:rsid w:val="0B451F6A"/>
    <w:rsid w:val="0B9003A7"/>
    <w:rsid w:val="0B937B4C"/>
    <w:rsid w:val="0B975296"/>
    <w:rsid w:val="0C227AFE"/>
    <w:rsid w:val="0C4E2FEB"/>
    <w:rsid w:val="0C6F4C8D"/>
    <w:rsid w:val="0D0E0EB6"/>
    <w:rsid w:val="0D9F67A7"/>
    <w:rsid w:val="0DBD3EC6"/>
    <w:rsid w:val="0DBE4DB9"/>
    <w:rsid w:val="0DE142CB"/>
    <w:rsid w:val="0DFB61AE"/>
    <w:rsid w:val="0E097F9C"/>
    <w:rsid w:val="0F39029F"/>
    <w:rsid w:val="0FDC1CDC"/>
    <w:rsid w:val="10223C48"/>
    <w:rsid w:val="11595062"/>
    <w:rsid w:val="117E44F1"/>
    <w:rsid w:val="122B2849"/>
    <w:rsid w:val="12475EA9"/>
    <w:rsid w:val="13280C19"/>
    <w:rsid w:val="133360BD"/>
    <w:rsid w:val="13567586"/>
    <w:rsid w:val="146E4633"/>
    <w:rsid w:val="150412EA"/>
    <w:rsid w:val="1570170F"/>
    <w:rsid w:val="15D52061"/>
    <w:rsid w:val="1650078C"/>
    <w:rsid w:val="16666905"/>
    <w:rsid w:val="171438BA"/>
    <w:rsid w:val="17230955"/>
    <w:rsid w:val="18077BC0"/>
    <w:rsid w:val="182770BA"/>
    <w:rsid w:val="18841567"/>
    <w:rsid w:val="18863017"/>
    <w:rsid w:val="18AC6D73"/>
    <w:rsid w:val="1B4716B4"/>
    <w:rsid w:val="1BC02CBB"/>
    <w:rsid w:val="1C08419D"/>
    <w:rsid w:val="1D001396"/>
    <w:rsid w:val="1D4D5FFD"/>
    <w:rsid w:val="1E0C4F75"/>
    <w:rsid w:val="1E4915FD"/>
    <w:rsid w:val="1EC56DE4"/>
    <w:rsid w:val="1F61361B"/>
    <w:rsid w:val="1F7A0970"/>
    <w:rsid w:val="1FE407BB"/>
    <w:rsid w:val="203E22FB"/>
    <w:rsid w:val="209E2C67"/>
    <w:rsid w:val="216F32CA"/>
    <w:rsid w:val="22124112"/>
    <w:rsid w:val="223D6AD3"/>
    <w:rsid w:val="22C50993"/>
    <w:rsid w:val="22F52EB4"/>
    <w:rsid w:val="23916632"/>
    <w:rsid w:val="23BC1789"/>
    <w:rsid w:val="23F57352"/>
    <w:rsid w:val="249A7996"/>
    <w:rsid w:val="25421F31"/>
    <w:rsid w:val="25645185"/>
    <w:rsid w:val="267E2359"/>
    <w:rsid w:val="26BC7CBC"/>
    <w:rsid w:val="270A7742"/>
    <w:rsid w:val="27244024"/>
    <w:rsid w:val="27447ED5"/>
    <w:rsid w:val="275F3A77"/>
    <w:rsid w:val="27BD555A"/>
    <w:rsid w:val="2814332A"/>
    <w:rsid w:val="284F0253"/>
    <w:rsid w:val="28592BC6"/>
    <w:rsid w:val="28644870"/>
    <w:rsid w:val="2A2B6113"/>
    <w:rsid w:val="2A522FE6"/>
    <w:rsid w:val="2A8D0F72"/>
    <w:rsid w:val="2A8F53EB"/>
    <w:rsid w:val="2AE949DF"/>
    <w:rsid w:val="2B3B474B"/>
    <w:rsid w:val="2B673872"/>
    <w:rsid w:val="2B8D044E"/>
    <w:rsid w:val="2BC0380C"/>
    <w:rsid w:val="2BC27B4B"/>
    <w:rsid w:val="2BD609FE"/>
    <w:rsid w:val="2BF102B2"/>
    <w:rsid w:val="2C016BB8"/>
    <w:rsid w:val="2CAD1B0F"/>
    <w:rsid w:val="2CCC11FE"/>
    <w:rsid w:val="2D737FF4"/>
    <w:rsid w:val="2D77461B"/>
    <w:rsid w:val="2D915223"/>
    <w:rsid w:val="2E400C5F"/>
    <w:rsid w:val="2E5209E3"/>
    <w:rsid w:val="2EB01AFE"/>
    <w:rsid w:val="2ED5225E"/>
    <w:rsid w:val="2F4F643B"/>
    <w:rsid w:val="2FE052C8"/>
    <w:rsid w:val="30592C7B"/>
    <w:rsid w:val="305B6532"/>
    <w:rsid w:val="30D1119A"/>
    <w:rsid w:val="30F12F4C"/>
    <w:rsid w:val="3112402E"/>
    <w:rsid w:val="313D3E38"/>
    <w:rsid w:val="31531489"/>
    <w:rsid w:val="315421E9"/>
    <w:rsid w:val="32611BF0"/>
    <w:rsid w:val="337E22EB"/>
    <w:rsid w:val="33A83294"/>
    <w:rsid w:val="34011E26"/>
    <w:rsid w:val="341B4D23"/>
    <w:rsid w:val="348151A5"/>
    <w:rsid w:val="34C178F0"/>
    <w:rsid w:val="34D1601A"/>
    <w:rsid w:val="350D4620"/>
    <w:rsid w:val="35A82927"/>
    <w:rsid w:val="365E703C"/>
    <w:rsid w:val="36A81FB2"/>
    <w:rsid w:val="36C72335"/>
    <w:rsid w:val="3722158D"/>
    <w:rsid w:val="37484896"/>
    <w:rsid w:val="375E09FC"/>
    <w:rsid w:val="37654457"/>
    <w:rsid w:val="377227A7"/>
    <w:rsid w:val="37D40635"/>
    <w:rsid w:val="384F7A4B"/>
    <w:rsid w:val="38525FA9"/>
    <w:rsid w:val="38904625"/>
    <w:rsid w:val="38AC1450"/>
    <w:rsid w:val="38C46926"/>
    <w:rsid w:val="39003F1D"/>
    <w:rsid w:val="39276876"/>
    <w:rsid w:val="392B2930"/>
    <w:rsid w:val="398F179C"/>
    <w:rsid w:val="39BB3AEA"/>
    <w:rsid w:val="3A917D34"/>
    <w:rsid w:val="3AC853CC"/>
    <w:rsid w:val="3B2A34D0"/>
    <w:rsid w:val="3B2B6A85"/>
    <w:rsid w:val="3B784C79"/>
    <w:rsid w:val="3BCF6306"/>
    <w:rsid w:val="3C582CD8"/>
    <w:rsid w:val="3D607AA8"/>
    <w:rsid w:val="3DD06290"/>
    <w:rsid w:val="3E094E14"/>
    <w:rsid w:val="3E2546CD"/>
    <w:rsid w:val="3FC27C0A"/>
    <w:rsid w:val="3FC80BBB"/>
    <w:rsid w:val="40531C58"/>
    <w:rsid w:val="407B526F"/>
    <w:rsid w:val="40F54406"/>
    <w:rsid w:val="410B5D21"/>
    <w:rsid w:val="41192D98"/>
    <w:rsid w:val="41283EFD"/>
    <w:rsid w:val="412B5D6F"/>
    <w:rsid w:val="413E5CD9"/>
    <w:rsid w:val="417408DA"/>
    <w:rsid w:val="417C76BF"/>
    <w:rsid w:val="41B92B10"/>
    <w:rsid w:val="41FE41EE"/>
    <w:rsid w:val="42510629"/>
    <w:rsid w:val="42DE4592"/>
    <w:rsid w:val="43407B75"/>
    <w:rsid w:val="43425F9D"/>
    <w:rsid w:val="43F465D0"/>
    <w:rsid w:val="442A053D"/>
    <w:rsid w:val="44440739"/>
    <w:rsid w:val="446F65B8"/>
    <w:rsid w:val="44BE649B"/>
    <w:rsid w:val="44F057A6"/>
    <w:rsid w:val="45A92D55"/>
    <w:rsid w:val="45A95346"/>
    <w:rsid w:val="45B54B5C"/>
    <w:rsid w:val="45E64F50"/>
    <w:rsid w:val="46416F41"/>
    <w:rsid w:val="46C4203A"/>
    <w:rsid w:val="4705441D"/>
    <w:rsid w:val="470E29AE"/>
    <w:rsid w:val="477C2DD0"/>
    <w:rsid w:val="484428AA"/>
    <w:rsid w:val="49672052"/>
    <w:rsid w:val="499E7180"/>
    <w:rsid w:val="49CB0CCD"/>
    <w:rsid w:val="49D679F3"/>
    <w:rsid w:val="4A8371B1"/>
    <w:rsid w:val="4AA610D6"/>
    <w:rsid w:val="4B0C055A"/>
    <w:rsid w:val="4B345ABD"/>
    <w:rsid w:val="4B43394E"/>
    <w:rsid w:val="4B600F86"/>
    <w:rsid w:val="4B607248"/>
    <w:rsid w:val="4B9379A2"/>
    <w:rsid w:val="4C8B4A7C"/>
    <w:rsid w:val="4CFC368B"/>
    <w:rsid w:val="4DD83729"/>
    <w:rsid w:val="4E7D412D"/>
    <w:rsid w:val="4F086AAF"/>
    <w:rsid w:val="4F536243"/>
    <w:rsid w:val="502B7B59"/>
    <w:rsid w:val="5069668A"/>
    <w:rsid w:val="50740D82"/>
    <w:rsid w:val="50756861"/>
    <w:rsid w:val="50765E2C"/>
    <w:rsid w:val="50975D83"/>
    <w:rsid w:val="50A83CB2"/>
    <w:rsid w:val="50CB1BD5"/>
    <w:rsid w:val="512B42F2"/>
    <w:rsid w:val="512D75F5"/>
    <w:rsid w:val="52462D2A"/>
    <w:rsid w:val="52A35BE3"/>
    <w:rsid w:val="538E5DEC"/>
    <w:rsid w:val="53FD5D34"/>
    <w:rsid w:val="54611047"/>
    <w:rsid w:val="55697137"/>
    <w:rsid w:val="56D076DF"/>
    <w:rsid w:val="56E34736"/>
    <w:rsid w:val="56FB15A3"/>
    <w:rsid w:val="571E43C4"/>
    <w:rsid w:val="572C3C94"/>
    <w:rsid w:val="57806BBC"/>
    <w:rsid w:val="58963DA7"/>
    <w:rsid w:val="592C3305"/>
    <w:rsid w:val="595F0B4A"/>
    <w:rsid w:val="5A2C7551"/>
    <w:rsid w:val="5A400720"/>
    <w:rsid w:val="5AD76C49"/>
    <w:rsid w:val="5B3316BC"/>
    <w:rsid w:val="5B6449F8"/>
    <w:rsid w:val="5B6C539D"/>
    <w:rsid w:val="5BB95589"/>
    <w:rsid w:val="5BBE79C0"/>
    <w:rsid w:val="5BC403BD"/>
    <w:rsid w:val="5C9F45D1"/>
    <w:rsid w:val="5CDA3620"/>
    <w:rsid w:val="5CF4139A"/>
    <w:rsid w:val="5D001D51"/>
    <w:rsid w:val="5D693C9C"/>
    <w:rsid w:val="5D6D1331"/>
    <w:rsid w:val="5D9E0D74"/>
    <w:rsid w:val="5DE973D6"/>
    <w:rsid w:val="5E8D2D21"/>
    <w:rsid w:val="5EBD1212"/>
    <w:rsid w:val="5FD718B5"/>
    <w:rsid w:val="611E1413"/>
    <w:rsid w:val="61762846"/>
    <w:rsid w:val="61A31F09"/>
    <w:rsid w:val="61CC63F7"/>
    <w:rsid w:val="62097425"/>
    <w:rsid w:val="623F329A"/>
    <w:rsid w:val="62695E27"/>
    <w:rsid w:val="628242DE"/>
    <w:rsid w:val="629B2B99"/>
    <w:rsid w:val="636127C3"/>
    <w:rsid w:val="6362429A"/>
    <w:rsid w:val="643949DC"/>
    <w:rsid w:val="6541100E"/>
    <w:rsid w:val="654C0BA8"/>
    <w:rsid w:val="664352EB"/>
    <w:rsid w:val="672079BD"/>
    <w:rsid w:val="673953CD"/>
    <w:rsid w:val="677340F1"/>
    <w:rsid w:val="67C857F5"/>
    <w:rsid w:val="683E7EE4"/>
    <w:rsid w:val="68E23A93"/>
    <w:rsid w:val="68FF2686"/>
    <w:rsid w:val="696610E4"/>
    <w:rsid w:val="69A45371"/>
    <w:rsid w:val="6A0724D3"/>
    <w:rsid w:val="6A7960D4"/>
    <w:rsid w:val="6A83721D"/>
    <w:rsid w:val="6A910DA4"/>
    <w:rsid w:val="6ADB5B5E"/>
    <w:rsid w:val="6AE21101"/>
    <w:rsid w:val="6B4F3B9E"/>
    <w:rsid w:val="6B8B7041"/>
    <w:rsid w:val="6B94355C"/>
    <w:rsid w:val="6B9E52DF"/>
    <w:rsid w:val="6BD63153"/>
    <w:rsid w:val="6C5B55DC"/>
    <w:rsid w:val="6CAE03DD"/>
    <w:rsid w:val="6CBD3810"/>
    <w:rsid w:val="6CE56E6B"/>
    <w:rsid w:val="6D032DAA"/>
    <w:rsid w:val="6D2661D6"/>
    <w:rsid w:val="6E005A26"/>
    <w:rsid w:val="6E6329C5"/>
    <w:rsid w:val="6E7956B0"/>
    <w:rsid w:val="6EFF345A"/>
    <w:rsid w:val="6F0E41D6"/>
    <w:rsid w:val="6FB4540B"/>
    <w:rsid w:val="6FEF3CCF"/>
    <w:rsid w:val="703954DB"/>
    <w:rsid w:val="70586BB4"/>
    <w:rsid w:val="70587BDA"/>
    <w:rsid w:val="70BA02B5"/>
    <w:rsid w:val="70C73255"/>
    <w:rsid w:val="713724C0"/>
    <w:rsid w:val="71610FBE"/>
    <w:rsid w:val="7207174C"/>
    <w:rsid w:val="725008FF"/>
    <w:rsid w:val="726764CC"/>
    <w:rsid w:val="72760778"/>
    <w:rsid w:val="72A8689A"/>
    <w:rsid w:val="735B4A8E"/>
    <w:rsid w:val="73E2329F"/>
    <w:rsid w:val="743104E3"/>
    <w:rsid w:val="74320C3C"/>
    <w:rsid w:val="74513162"/>
    <w:rsid w:val="75431AF8"/>
    <w:rsid w:val="75601222"/>
    <w:rsid w:val="757B75BC"/>
    <w:rsid w:val="75AA4F52"/>
    <w:rsid w:val="76A665D3"/>
    <w:rsid w:val="76AF7770"/>
    <w:rsid w:val="78BD1F9D"/>
    <w:rsid w:val="78F433D1"/>
    <w:rsid w:val="79201CE1"/>
    <w:rsid w:val="79A22C40"/>
    <w:rsid w:val="79B14724"/>
    <w:rsid w:val="7AD678D8"/>
    <w:rsid w:val="7B3E0A41"/>
    <w:rsid w:val="7B97343A"/>
    <w:rsid w:val="7C323980"/>
    <w:rsid w:val="7C64597F"/>
    <w:rsid w:val="7CB40520"/>
    <w:rsid w:val="7CDB3559"/>
    <w:rsid w:val="7E400B6D"/>
    <w:rsid w:val="7EB3579D"/>
    <w:rsid w:val="7EDC5A49"/>
    <w:rsid w:val="BE7F5F1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等线"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name="toc 1"/>
    <w:lsdException w:qFormat="1"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nhideWhenUsed="0" w:uiPriority="99"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1"/>
    <w:basedOn w:val="1"/>
    <w:next w:val="1"/>
    <w:qFormat/>
    <w:uiPriority w:val="0"/>
    <w:pPr>
      <w:autoSpaceDE w:val="0"/>
      <w:autoSpaceDN w:val="0"/>
      <w:spacing w:line="360" w:lineRule="auto"/>
      <w:ind w:left="692"/>
      <w:jc w:val="center"/>
      <w:outlineLvl w:val="0"/>
    </w:pPr>
    <w:rPr>
      <w:rFonts w:ascii="Noto Sans Mono CJK JP Regular" w:hAnsi="Noto Sans Mono CJK JP Regular" w:cs="Noto Sans Mono CJK JP Regular"/>
      <w:b/>
      <w:kern w:val="0"/>
      <w:sz w:val="36"/>
      <w:szCs w:val="44"/>
      <w:lang w:eastAsia="en-US"/>
    </w:rPr>
  </w:style>
  <w:style w:type="paragraph" w:styleId="5">
    <w:name w:val="heading 3"/>
    <w:basedOn w:val="1"/>
    <w:next w:val="1"/>
    <w:link w:val="26"/>
    <w:qFormat/>
    <w:uiPriority w:val="0"/>
    <w:pPr>
      <w:keepNext/>
      <w:keepLines/>
      <w:widowControl/>
      <w:spacing w:before="260" w:after="260" w:line="413" w:lineRule="auto"/>
      <w:outlineLvl w:val="2"/>
    </w:pPr>
    <w:rPr>
      <w:rFonts w:ascii="Calibri" w:hAnsi="Calibri" w:cs="宋体"/>
      <w:b/>
      <w:sz w:val="32"/>
      <w:szCs w:val="22"/>
    </w:rPr>
  </w:style>
  <w:style w:type="character" w:default="1" w:styleId="20">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spacing w:after="120" w:line="240" w:lineRule="auto"/>
      <w:ind w:left="420" w:leftChars="200" w:firstLine="420"/>
    </w:pPr>
    <w:rPr>
      <w:sz w:val="21"/>
    </w:rPr>
  </w:style>
  <w:style w:type="paragraph" w:styleId="3">
    <w:name w:val="Body Text Indent"/>
    <w:basedOn w:val="1"/>
    <w:next w:val="1"/>
    <w:qFormat/>
    <w:uiPriority w:val="0"/>
    <w:pPr>
      <w:spacing w:line="520" w:lineRule="exact"/>
      <w:ind w:left="570"/>
    </w:pPr>
    <w:rPr>
      <w:rFonts w:ascii="方正仿宋简体" w:hAnsi="创艺简仿宋" w:eastAsia="方正仿宋简体"/>
      <w:sz w:val="24"/>
    </w:rPr>
  </w:style>
  <w:style w:type="paragraph" w:styleId="6">
    <w:name w:val="Document Map"/>
    <w:basedOn w:val="1"/>
    <w:link w:val="33"/>
    <w:qFormat/>
    <w:uiPriority w:val="99"/>
    <w:rPr>
      <w:rFonts w:ascii="宋体"/>
      <w:sz w:val="18"/>
      <w:szCs w:val="18"/>
    </w:rPr>
  </w:style>
  <w:style w:type="paragraph" w:styleId="7">
    <w:name w:val="annotation text"/>
    <w:basedOn w:val="1"/>
    <w:link w:val="36"/>
    <w:qFormat/>
    <w:uiPriority w:val="0"/>
    <w:pPr>
      <w:jc w:val="left"/>
    </w:pPr>
  </w:style>
  <w:style w:type="paragraph" w:styleId="8">
    <w:name w:val="Body Text"/>
    <w:basedOn w:val="1"/>
    <w:link w:val="27"/>
    <w:qFormat/>
    <w:uiPriority w:val="99"/>
    <w:pPr>
      <w:spacing w:after="120"/>
    </w:pPr>
  </w:style>
  <w:style w:type="paragraph" w:styleId="9">
    <w:name w:val="Plain Text"/>
    <w:basedOn w:val="1"/>
    <w:link w:val="49"/>
    <w:qFormat/>
    <w:uiPriority w:val="0"/>
    <w:rPr>
      <w:rFonts w:ascii="宋体" w:hAnsi="Courier New" w:cs="Courier New"/>
      <w:szCs w:val="21"/>
    </w:rPr>
  </w:style>
  <w:style w:type="paragraph" w:styleId="10">
    <w:name w:val="Balloon Text"/>
    <w:basedOn w:val="1"/>
    <w:link w:val="31"/>
    <w:qFormat/>
    <w:uiPriority w:val="99"/>
    <w:rPr>
      <w:sz w:val="18"/>
      <w:szCs w:val="18"/>
    </w:rPr>
  </w:style>
  <w:style w:type="paragraph" w:styleId="11">
    <w:name w:val="footer"/>
    <w:basedOn w:val="1"/>
    <w:link w:val="30"/>
    <w:qFormat/>
    <w:uiPriority w:val="0"/>
    <w:pPr>
      <w:tabs>
        <w:tab w:val="center" w:pos="4153"/>
        <w:tab w:val="right" w:pos="8306"/>
      </w:tabs>
      <w:snapToGrid w:val="0"/>
      <w:jc w:val="left"/>
    </w:pPr>
    <w:rPr>
      <w:sz w:val="18"/>
      <w:szCs w:val="18"/>
    </w:rPr>
  </w:style>
  <w:style w:type="paragraph" w:styleId="12">
    <w:name w:val="header"/>
    <w:basedOn w:val="1"/>
    <w:link w:val="29"/>
    <w:qFormat/>
    <w:uiPriority w:val="0"/>
    <w:pPr>
      <w:pBdr>
        <w:bottom w:val="single" w:color="auto" w:sz="6" w:space="1"/>
      </w:pBdr>
      <w:tabs>
        <w:tab w:val="center" w:pos="4153"/>
        <w:tab w:val="right" w:pos="8306"/>
      </w:tabs>
      <w:snapToGrid w:val="0"/>
      <w:jc w:val="center"/>
    </w:pPr>
    <w:rPr>
      <w:sz w:val="18"/>
      <w:szCs w:val="18"/>
    </w:rPr>
  </w:style>
  <w:style w:type="paragraph" w:styleId="13">
    <w:name w:val="toc 1"/>
    <w:basedOn w:val="1"/>
    <w:next w:val="1"/>
    <w:semiHidden/>
    <w:unhideWhenUsed/>
    <w:qFormat/>
    <w:uiPriority w:val="39"/>
  </w:style>
  <w:style w:type="paragraph" w:styleId="14">
    <w:name w:val="toc 2"/>
    <w:basedOn w:val="1"/>
    <w:next w:val="1"/>
    <w:semiHidden/>
    <w:unhideWhenUsed/>
    <w:qFormat/>
    <w:uiPriority w:val="39"/>
    <w:pPr>
      <w:ind w:left="420" w:leftChars="200"/>
    </w:pPr>
  </w:style>
  <w:style w:type="paragraph" w:styleId="15">
    <w:name w:val="Normal (Web)"/>
    <w:basedOn w:val="1"/>
    <w:qFormat/>
    <w:uiPriority w:val="99"/>
    <w:pPr>
      <w:spacing w:beforeAutospacing="1" w:afterAutospacing="1"/>
      <w:jc w:val="left"/>
    </w:pPr>
    <w:rPr>
      <w:rFonts w:asciiTheme="minorHAnsi" w:hAnsiTheme="minorHAnsi" w:eastAsiaTheme="minorEastAsia"/>
      <w:kern w:val="0"/>
      <w:sz w:val="24"/>
      <w:szCs w:val="24"/>
    </w:rPr>
  </w:style>
  <w:style w:type="paragraph" w:styleId="16">
    <w:name w:val="annotation subject"/>
    <w:basedOn w:val="7"/>
    <w:next w:val="7"/>
    <w:link w:val="39"/>
    <w:unhideWhenUsed/>
    <w:qFormat/>
    <w:uiPriority w:val="99"/>
    <w:rPr>
      <w:b/>
      <w:bCs/>
    </w:rPr>
  </w:style>
  <w:style w:type="paragraph" w:styleId="17">
    <w:name w:val="Body Text First Indent"/>
    <w:basedOn w:val="8"/>
    <w:link w:val="28"/>
    <w:qFormat/>
    <w:uiPriority w:val="0"/>
    <w:pPr>
      <w:widowControl/>
      <w:ind w:firstLine="420" w:firstLineChars="100"/>
    </w:pPr>
    <w:rPr>
      <w:rFonts w:ascii="Calibri" w:hAnsi="Calibri" w:cs="宋体"/>
      <w:szCs w:val="22"/>
    </w:rPr>
  </w:style>
  <w:style w:type="table" w:styleId="19">
    <w:name w:val="Table Grid"/>
    <w:basedOn w:val="18"/>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page number"/>
    <w:basedOn w:val="20"/>
    <w:qFormat/>
    <w:uiPriority w:val="0"/>
  </w:style>
  <w:style w:type="character" w:styleId="22">
    <w:name w:val="Hyperlink"/>
    <w:basedOn w:val="20"/>
    <w:unhideWhenUsed/>
    <w:qFormat/>
    <w:uiPriority w:val="99"/>
    <w:rPr>
      <w:color w:val="0000FF" w:themeColor="hyperlink"/>
      <w:u w:val="single"/>
      <w14:textFill>
        <w14:solidFill>
          <w14:schemeClr w14:val="hlink"/>
        </w14:solidFill>
      </w14:textFill>
    </w:rPr>
  </w:style>
  <w:style w:type="character" w:styleId="23">
    <w:name w:val="annotation reference"/>
    <w:basedOn w:val="20"/>
    <w:qFormat/>
    <w:uiPriority w:val="99"/>
    <w:rPr>
      <w:sz w:val="21"/>
      <w:szCs w:val="21"/>
    </w:rPr>
  </w:style>
  <w:style w:type="character" w:customStyle="1" w:styleId="24">
    <w:name w:val="正文缩进2格 Char"/>
    <w:link w:val="25"/>
    <w:qFormat/>
    <w:uiPriority w:val="0"/>
    <w:rPr>
      <w:rFonts w:ascii="仿宋_GB2312" w:hAnsi="宋体" w:eastAsia="仿宋_GB2312" w:cs="仿宋_GB2312"/>
      <w:sz w:val="31"/>
      <w:szCs w:val="31"/>
    </w:rPr>
  </w:style>
  <w:style w:type="paragraph" w:customStyle="1" w:styleId="25">
    <w:name w:val="正文缩进2格"/>
    <w:basedOn w:val="1"/>
    <w:link w:val="24"/>
    <w:qFormat/>
    <w:uiPriority w:val="0"/>
    <w:pPr>
      <w:spacing w:line="600" w:lineRule="exact"/>
      <w:ind w:firstLine="639" w:firstLineChars="206"/>
    </w:pPr>
    <w:rPr>
      <w:rFonts w:ascii="仿宋_GB2312" w:hAnsi="宋体" w:eastAsia="仿宋_GB2312" w:cs="仿宋_GB2312"/>
      <w:sz w:val="31"/>
      <w:szCs w:val="31"/>
    </w:rPr>
  </w:style>
  <w:style w:type="character" w:customStyle="1" w:styleId="26">
    <w:name w:val="标题 3 字符"/>
    <w:basedOn w:val="20"/>
    <w:link w:val="5"/>
    <w:qFormat/>
    <w:uiPriority w:val="0"/>
    <w:rPr>
      <w:rFonts w:eastAsia="宋体"/>
      <w:b/>
      <w:sz w:val="32"/>
    </w:rPr>
  </w:style>
  <w:style w:type="character" w:customStyle="1" w:styleId="27">
    <w:name w:val="正文文本 字符"/>
    <w:basedOn w:val="20"/>
    <w:link w:val="8"/>
    <w:qFormat/>
    <w:uiPriority w:val="99"/>
    <w:rPr>
      <w:rFonts w:ascii="Times New Roman" w:hAnsi="Times New Roman" w:eastAsia="宋体" w:cs="Times New Roman"/>
      <w:szCs w:val="20"/>
    </w:rPr>
  </w:style>
  <w:style w:type="character" w:customStyle="1" w:styleId="28">
    <w:name w:val="正文文本首行缩进 字符"/>
    <w:basedOn w:val="27"/>
    <w:link w:val="17"/>
    <w:qFormat/>
    <w:uiPriority w:val="0"/>
    <w:rPr>
      <w:rFonts w:ascii="Times New Roman" w:hAnsi="Times New Roman" w:eastAsia="宋体" w:cs="Times New Roman"/>
      <w:szCs w:val="20"/>
    </w:rPr>
  </w:style>
  <w:style w:type="character" w:customStyle="1" w:styleId="29">
    <w:name w:val="页眉 字符"/>
    <w:basedOn w:val="20"/>
    <w:link w:val="12"/>
    <w:qFormat/>
    <w:uiPriority w:val="99"/>
    <w:rPr>
      <w:rFonts w:ascii="Times New Roman" w:hAnsi="Times New Roman" w:eastAsia="宋体" w:cs="Times New Roman"/>
      <w:sz w:val="18"/>
      <w:szCs w:val="18"/>
    </w:rPr>
  </w:style>
  <w:style w:type="character" w:customStyle="1" w:styleId="30">
    <w:name w:val="页脚 字符"/>
    <w:basedOn w:val="20"/>
    <w:link w:val="11"/>
    <w:qFormat/>
    <w:uiPriority w:val="99"/>
    <w:rPr>
      <w:rFonts w:ascii="Times New Roman" w:hAnsi="Times New Roman" w:eastAsia="宋体" w:cs="Times New Roman"/>
      <w:sz w:val="18"/>
      <w:szCs w:val="18"/>
    </w:rPr>
  </w:style>
  <w:style w:type="character" w:customStyle="1" w:styleId="31">
    <w:name w:val="批注框文本 字符"/>
    <w:basedOn w:val="20"/>
    <w:link w:val="10"/>
    <w:qFormat/>
    <w:uiPriority w:val="99"/>
    <w:rPr>
      <w:rFonts w:ascii="Times New Roman" w:hAnsi="Times New Roman" w:eastAsia="宋体" w:cs="Times New Roman"/>
      <w:kern w:val="2"/>
      <w:sz w:val="18"/>
      <w:szCs w:val="18"/>
    </w:rPr>
  </w:style>
  <w:style w:type="paragraph" w:customStyle="1" w:styleId="32">
    <w:name w:val="列出段落1"/>
    <w:basedOn w:val="1"/>
    <w:qFormat/>
    <w:uiPriority w:val="99"/>
    <w:pPr>
      <w:ind w:firstLine="420" w:firstLineChars="200"/>
    </w:pPr>
  </w:style>
  <w:style w:type="character" w:customStyle="1" w:styleId="33">
    <w:name w:val="文档结构图 字符"/>
    <w:basedOn w:val="20"/>
    <w:link w:val="6"/>
    <w:qFormat/>
    <w:uiPriority w:val="99"/>
    <w:rPr>
      <w:rFonts w:ascii="宋体" w:hAnsi="Times New Roman" w:eastAsia="宋体" w:cs="Times New Roman"/>
      <w:kern w:val="2"/>
      <w:sz w:val="18"/>
      <w:szCs w:val="18"/>
    </w:rPr>
  </w:style>
  <w:style w:type="paragraph" w:customStyle="1" w:styleId="34">
    <w:name w:val="列出段落2"/>
    <w:basedOn w:val="1"/>
    <w:qFormat/>
    <w:uiPriority w:val="99"/>
    <w:pPr>
      <w:ind w:firstLine="420" w:firstLineChars="200"/>
    </w:pPr>
  </w:style>
  <w:style w:type="paragraph" w:customStyle="1" w:styleId="35">
    <w:name w:val="列表段落1"/>
    <w:basedOn w:val="1"/>
    <w:qFormat/>
    <w:uiPriority w:val="34"/>
    <w:pPr>
      <w:ind w:firstLine="420" w:firstLineChars="200"/>
    </w:pPr>
  </w:style>
  <w:style w:type="character" w:customStyle="1" w:styleId="36">
    <w:name w:val="批注文字 字符"/>
    <w:basedOn w:val="20"/>
    <w:link w:val="7"/>
    <w:qFormat/>
    <w:uiPriority w:val="0"/>
    <w:rPr>
      <w:rFonts w:ascii="Times New Roman" w:hAnsi="Times New Roman" w:cs="Times New Roman"/>
      <w:kern w:val="2"/>
      <w:sz w:val="21"/>
    </w:rPr>
  </w:style>
  <w:style w:type="character" w:customStyle="1" w:styleId="37">
    <w:name w:val="fontstyle01"/>
    <w:basedOn w:val="20"/>
    <w:qFormat/>
    <w:uiPriority w:val="0"/>
    <w:rPr>
      <w:rFonts w:hint="eastAsia" w:ascii="仿宋" w:hAnsi="仿宋" w:eastAsia="仿宋"/>
      <w:color w:val="000000"/>
      <w:sz w:val="28"/>
      <w:szCs w:val="28"/>
    </w:rPr>
  </w:style>
  <w:style w:type="paragraph" w:customStyle="1" w:styleId="38">
    <w:name w:val="修订1"/>
    <w:hidden/>
    <w:semiHidden/>
    <w:qFormat/>
    <w:uiPriority w:val="99"/>
    <w:rPr>
      <w:rFonts w:ascii="Times New Roman" w:hAnsi="Times New Roman" w:eastAsia="宋体" w:cs="Times New Roman"/>
      <w:kern w:val="2"/>
      <w:sz w:val="21"/>
      <w:lang w:val="en-US" w:eastAsia="zh-CN" w:bidi="ar-SA"/>
    </w:rPr>
  </w:style>
  <w:style w:type="character" w:customStyle="1" w:styleId="39">
    <w:name w:val="批注主题 字符"/>
    <w:basedOn w:val="36"/>
    <w:link w:val="16"/>
    <w:semiHidden/>
    <w:qFormat/>
    <w:uiPriority w:val="99"/>
    <w:rPr>
      <w:rFonts w:ascii="Times New Roman" w:hAnsi="Times New Roman" w:eastAsia="宋体" w:cs="Times New Roman"/>
      <w:b/>
      <w:bCs/>
      <w:kern w:val="2"/>
      <w:sz w:val="21"/>
    </w:rPr>
  </w:style>
  <w:style w:type="paragraph" w:styleId="40">
    <w:name w:val="List Paragraph"/>
    <w:basedOn w:val="1"/>
    <w:qFormat/>
    <w:uiPriority w:val="34"/>
    <w:pPr>
      <w:ind w:firstLine="420" w:firstLineChars="200"/>
    </w:pPr>
  </w:style>
  <w:style w:type="table" w:customStyle="1" w:styleId="41">
    <w:name w:val="网格表 6 彩色 - 着色 61"/>
    <w:basedOn w:val="18"/>
    <w:qFormat/>
    <w:uiPriority w:val="51"/>
    <w:rPr>
      <w:color w:val="E46C0A" w:themeColor="accent6" w:themeShade="BF"/>
    </w:rPr>
    <w:tblPr>
      <w:tblBorders>
        <w:top w:val="single" w:color="FABF8F" w:themeColor="accent6" w:themeTint="99" w:sz="4" w:space="0"/>
        <w:left w:val="single" w:color="FABF8F" w:themeColor="accent6" w:themeTint="99" w:sz="4" w:space="0"/>
        <w:bottom w:val="single" w:color="FABF8F" w:themeColor="accent6" w:themeTint="99" w:sz="4" w:space="0"/>
        <w:right w:val="single" w:color="FABF8F" w:themeColor="accent6" w:themeTint="99" w:sz="4" w:space="0"/>
        <w:insideH w:val="single" w:color="FABF8F" w:themeColor="accent6" w:themeTint="99" w:sz="4" w:space="0"/>
        <w:insideV w:val="single" w:color="FABF8F" w:themeColor="accent6" w:themeTint="99" w:sz="4" w:space="0"/>
      </w:tblBorders>
    </w:tblPr>
    <w:tblStylePr w:type="firstRow">
      <w:rPr>
        <w:b/>
        <w:bCs/>
      </w:rPr>
      <w:tcPr>
        <w:tcBorders>
          <w:bottom w:val="single" w:color="FABF8F" w:themeColor="accent6" w:themeTint="99" w:sz="12" w:space="0"/>
        </w:tcBorders>
      </w:tcPr>
    </w:tblStylePr>
    <w:tblStylePr w:type="lastRow">
      <w:rPr>
        <w:b/>
        <w:bCs/>
      </w:rPr>
      <w:tcPr>
        <w:tcBorders>
          <w:top w:val="double" w:color="FABF8F" w:themeColor="accent6" w:themeTint="99" w:sz="4" w:space="0"/>
        </w:tcBorders>
      </w:tcPr>
    </w:tblStylePr>
    <w:tblStylePr w:type="firstCol">
      <w:rPr>
        <w:b/>
        <w:bCs/>
      </w:rPr>
    </w:tblStylePr>
    <w:tblStylePr w:type="lastCol">
      <w:rPr>
        <w:b/>
        <w:bCs/>
      </w:rPr>
    </w:tblStylePr>
    <w:tblStylePr w:type="band1Vert">
      <w:tcPr>
        <w:shd w:val="clear" w:color="auto" w:fill="FDE9D9" w:themeFill="accent6" w:themeFillTint="33"/>
      </w:tcPr>
    </w:tblStylePr>
    <w:tblStylePr w:type="band1Horz">
      <w:tcPr>
        <w:shd w:val="clear" w:color="auto" w:fill="FDE9D9" w:themeFill="accent6" w:themeFillTint="33"/>
      </w:tcPr>
    </w:tblStylePr>
  </w:style>
  <w:style w:type="paragraph" w:customStyle="1" w:styleId="42">
    <w:name w:val="_Style 13"/>
    <w:basedOn w:val="1"/>
    <w:next w:val="40"/>
    <w:qFormat/>
    <w:uiPriority w:val="0"/>
    <w:pPr>
      <w:ind w:firstLine="420" w:firstLineChars="200"/>
    </w:pPr>
    <w:rPr>
      <w:rFonts w:ascii="Calibri" w:hAnsi="Calibri"/>
      <w:szCs w:val="24"/>
    </w:rPr>
  </w:style>
  <w:style w:type="character" w:customStyle="1" w:styleId="43">
    <w:name w:val="未处理的提及1"/>
    <w:basedOn w:val="20"/>
    <w:semiHidden/>
    <w:unhideWhenUsed/>
    <w:qFormat/>
    <w:uiPriority w:val="99"/>
    <w:rPr>
      <w:color w:val="605E5C"/>
      <w:shd w:val="clear" w:color="auto" w:fill="E1DFDD"/>
    </w:rPr>
  </w:style>
  <w:style w:type="character" w:customStyle="1" w:styleId="44">
    <w:name w:val="未处理的提及2"/>
    <w:basedOn w:val="20"/>
    <w:semiHidden/>
    <w:unhideWhenUsed/>
    <w:qFormat/>
    <w:uiPriority w:val="99"/>
    <w:rPr>
      <w:color w:val="605E5C"/>
      <w:shd w:val="clear" w:color="auto" w:fill="E1DFDD"/>
    </w:rPr>
  </w:style>
  <w:style w:type="paragraph" w:customStyle="1" w:styleId="45">
    <w:name w:val="修订2"/>
    <w:hidden/>
    <w:semiHidden/>
    <w:qFormat/>
    <w:uiPriority w:val="99"/>
    <w:rPr>
      <w:rFonts w:ascii="Times New Roman" w:hAnsi="Times New Roman" w:eastAsia="宋体" w:cs="Times New Roman"/>
      <w:kern w:val="2"/>
      <w:sz w:val="21"/>
      <w:lang w:val="en-US" w:eastAsia="zh-CN" w:bidi="ar-SA"/>
    </w:rPr>
  </w:style>
  <w:style w:type="character" w:customStyle="1" w:styleId="46">
    <w:name w:val="报告正文 Char"/>
    <w:link w:val="47"/>
    <w:qFormat/>
    <w:uiPriority w:val="0"/>
    <w:rPr>
      <w:kern w:val="2"/>
      <w:sz w:val="24"/>
      <w:szCs w:val="24"/>
    </w:rPr>
  </w:style>
  <w:style w:type="paragraph" w:customStyle="1" w:styleId="47">
    <w:name w:val="报告正文"/>
    <w:next w:val="1"/>
    <w:link w:val="46"/>
    <w:qFormat/>
    <w:uiPriority w:val="0"/>
    <w:pPr>
      <w:spacing w:line="360" w:lineRule="auto"/>
      <w:ind w:firstLine="200" w:firstLineChars="200"/>
      <w:jc w:val="both"/>
    </w:pPr>
    <w:rPr>
      <w:rFonts w:ascii="Calibri" w:hAnsi="Calibri" w:eastAsia="等线" w:cs="Times New Roman"/>
      <w:kern w:val="2"/>
      <w:sz w:val="24"/>
      <w:szCs w:val="24"/>
      <w:lang w:val="en-US" w:eastAsia="zh-CN" w:bidi="ar-SA"/>
    </w:rPr>
  </w:style>
  <w:style w:type="paragraph" w:customStyle="1" w:styleId="48">
    <w:name w:val="缺省文本"/>
    <w:basedOn w:val="1"/>
    <w:qFormat/>
    <w:uiPriority w:val="0"/>
    <w:pPr>
      <w:autoSpaceDE w:val="0"/>
      <w:autoSpaceDN w:val="0"/>
      <w:adjustRightInd w:val="0"/>
      <w:jc w:val="left"/>
    </w:pPr>
    <w:rPr>
      <w:kern w:val="0"/>
      <w:sz w:val="24"/>
      <w:szCs w:val="24"/>
    </w:rPr>
  </w:style>
  <w:style w:type="character" w:customStyle="1" w:styleId="49">
    <w:name w:val="纯文本 字符"/>
    <w:basedOn w:val="20"/>
    <w:link w:val="9"/>
    <w:qFormat/>
    <w:uiPriority w:val="0"/>
    <w:rPr>
      <w:rFonts w:ascii="宋体" w:hAnsi="Courier New" w:eastAsia="宋体" w:cs="Courier New"/>
      <w:kern w:val="2"/>
      <w:sz w:val="21"/>
      <w:szCs w:val="21"/>
    </w:rPr>
  </w:style>
  <w:style w:type="paragraph" w:customStyle="1" w:styleId="50">
    <w:name w:val="正文2"/>
    <w:basedOn w:val="1"/>
    <w:link w:val="51"/>
    <w:qFormat/>
    <w:uiPriority w:val="0"/>
    <w:pPr>
      <w:spacing w:line="360" w:lineRule="auto"/>
      <w:ind w:firstLine="200" w:firstLineChars="200"/>
    </w:pPr>
    <w:rPr>
      <w:rFonts w:ascii="宋体" w:hAnsi="Calibri"/>
      <w:sz w:val="24"/>
      <w:szCs w:val="21"/>
    </w:rPr>
  </w:style>
  <w:style w:type="character" w:customStyle="1" w:styleId="51">
    <w:name w:val="正文2 Char"/>
    <w:link w:val="50"/>
    <w:qFormat/>
    <w:uiPriority w:val="0"/>
    <w:rPr>
      <w:rFonts w:ascii="宋体" w:eastAsia="宋体"/>
      <w:kern w:val="2"/>
      <w:sz w:val="24"/>
      <w:szCs w:val="21"/>
    </w:rPr>
  </w:style>
  <w:style w:type="paragraph" w:customStyle="1" w:styleId="52">
    <w:name w:val="p"/>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53">
    <w:name w:val="_Style 79"/>
    <w:basedOn w:val="1"/>
    <w:next w:val="40"/>
    <w:qFormat/>
    <w:uiPriority w:val="1"/>
    <w:pPr>
      <w:spacing w:line="468" w:lineRule="exact"/>
      <w:ind w:left="1206" w:hanging="420"/>
    </w:pPr>
  </w:style>
  <w:style w:type="paragraph" w:customStyle="1" w:styleId="54">
    <w:name w:val="BodyText"/>
    <w:basedOn w:val="1"/>
    <w:qFormat/>
    <w:uiPriority w:val="0"/>
    <w:pPr>
      <w:jc w:val="left"/>
    </w:pPr>
    <w:rPr>
      <w:rFonts w:ascii="宋体" w:hAnsi="Tahoma"/>
      <w:sz w:val="28"/>
      <w:szCs w:val="24"/>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157317D-CB22-425A-BD3C-13FDE109727A}">
  <ds:schemaRefs/>
</ds:datastoreItem>
</file>

<file path=docProps/app.xml><?xml version="1.0" encoding="utf-8"?>
<Properties xmlns="http://schemas.openxmlformats.org/officeDocument/2006/extended-properties" xmlns:vt="http://schemas.openxmlformats.org/officeDocument/2006/docPropsVTypes">
  <Template>Normal</Template>
  <Company>Chinese ORG</Company>
  <Pages>50</Pages>
  <Words>3789</Words>
  <Characters>21598</Characters>
  <Lines>179</Lines>
  <Paragraphs>50</Paragraphs>
  <TotalTime>9</TotalTime>
  <ScaleCrop>false</ScaleCrop>
  <LinksUpToDate>false</LinksUpToDate>
  <CharactersWithSpaces>25337</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2020-12-11T08:45:00Z</dcterms:created>
  <dc:creator>Jeo Xie</dc:creator>
  <cp:lastModifiedBy>Anna</cp:lastModifiedBy>
  <cp:lastPrinted>2021-07-15T02:01:00Z</cp:lastPrinted>
  <dcterms:modified xsi:type="dcterms:W3CDTF">2021-08-25T09:17:35Z</dcterms:modified>
  <cp:revision>146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ies>
</file>